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ascii="新宋体" w:hAnsi="新宋体" w:eastAsia="新宋体"/>
          <w:kern w:val="44"/>
          <w:sz w:val="30"/>
          <w:szCs w:val="30"/>
        </w:rPr>
      </w:pPr>
      <w:r>
        <w:rPr>
          <w:rFonts w:hint="eastAsia" w:ascii="新宋体" w:hAnsi="新宋体" w:eastAsia="新宋体"/>
          <w:kern w:val="44"/>
          <w:sz w:val="30"/>
          <w:szCs w:val="30"/>
        </w:rPr>
        <w:t>第二章  招标项目需求</w:t>
      </w:r>
    </w:p>
    <w:p>
      <w:pPr>
        <w:pStyle w:val="3"/>
        <w:rPr>
          <w:rFonts w:ascii="新宋体" w:hAnsi="新宋体" w:eastAsia="新宋体"/>
          <w:kern w:val="44"/>
          <w:szCs w:val="28"/>
        </w:rPr>
      </w:pPr>
      <w:r>
        <w:rPr>
          <w:rFonts w:hint="eastAsia" w:ascii="新宋体" w:hAnsi="新宋体" w:eastAsia="新宋体"/>
          <w:kern w:val="44"/>
          <w:szCs w:val="28"/>
        </w:rPr>
        <w:t>一、对通用条款的补充内容</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6"/>
        <w:gridCol w:w="1889"/>
        <w:gridCol w:w="58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827" w:type="dxa"/>
            <w:vAlign w:val="center"/>
          </w:tcPr>
          <w:p>
            <w:pPr>
              <w:spacing w:line="276" w:lineRule="auto"/>
              <w:jc w:val="center"/>
              <w:rPr>
                <w:rFonts w:ascii="新宋体" w:hAnsi="新宋体" w:eastAsia="新宋体"/>
                <w:b/>
                <w:bCs/>
              </w:rPr>
            </w:pPr>
            <w:r>
              <w:rPr>
                <w:rFonts w:hint="eastAsia" w:ascii="新宋体" w:hAnsi="新宋体" w:eastAsia="新宋体"/>
                <w:b/>
                <w:bCs/>
              </w:rPr>
              <w:t>序号</w:t>
            </w:r>
          </w:p>
        </w:tc>
        <w:tc>
          <w:tcPr>
            <w:tcW w:w="2012" w:type="dxa"/>
            <w:vAlign w:val="center"/>
          </w:tcPr>
          <w:p>
            <w:pPr>
              <w:spacing w:line="276" w:lineRule="auto"/>
              <w:jc w:val="center"/>
              <w:rPr>
                <w:rFonts w:ascii="新宋体" w:hAnsi="新宋体" w:eastAsia="新宋体"/>
                <w:b/>
                <w:bCs/>
              </w:rPr>
            </w:pPr>
            <w:r>
              <w:rPr>
                <w:rFonts w:hint="eastAsia" w:ascii="新宋体" w:hAnsi="新宋体" w:eastAsia="新宋体"/>
                <w:b/>
                <w:bCs/>
              </w:rPr>
              <w:t>内   容</w:t>
            </w:r>
          </w:p>
        </w:tc>
        <w:tc>
          <w:tcPr>
            <w:tcW w:w="6239" w:type="dxa"/>
            <w:vAlign w:val="center"/>
          </w:tcPr>
          <w:p>
            <w:pPr>
              <w:spacing w:line="276" w:lineRule="auto"/>
              <w:jc w:val="center"/>
              <w:rPr>
                <w:rFonts w:ascii="新宋体" w:hAnsi="新宋体" w:eastAsia="新宋体"/>
                <w:b/>
                <w:bCs/>
              </w:rPr>
            </w:pPr>
            <w:r>
              <w:rPr>
                <w:rFonts w:hint="eastAsia" w:ascii="新宋体" w:hAnsi="新宋体" w:eastAsia="新宋体"/>
                <w:b/>
                <w:bCs/>
              </w:rPr>
              <w:t>规      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827" w:type="dxa"/>
            <w:vAlign w:val="center"/>
          </w:tcPr>
          <w:p>
            <w:pPr>
              <w:spacing w:line="276" w:lineRule="auto"/>
              <w:jc w:val="center"/>
              <w:rPr>
                <w:rFonts w:ascii="新宋体" w:hAnsi="新宋体" w:eastAsia="新宋体"/>
              </w:rPr>
            </w:pPr>
            <w:r>
              <w:rPr>
                <w:rFonts w:hint="eastAsia" w:ascii="新宋体" w:hAnsi="新宋体" w:eastAsia="新宋体"/>
              </w:rPr>
              <w:t>1</w:t>
            </w:r>
          </w:p>
        </w:tc>
        <w:tc>
          <w:tcPr>
            <w:tcW w:w="2012" w:type="dxa"/>
            <w:vAlign w:val="center"/>
          </w:tcPr>
          <w:p>
            <w:pPr>
              <w:spacing w:line="276" w:lineRule="auto"/>
              <w:rPr>
                <w:rFonts w:ascii="新宋体" w:hAnsi="新宋体" w:eastAsia="新宋体"/>
              </w:rPr>
            </w:pPr>
            <w:r>
              <w:rPr>
                <w:rFonts w:hint="eastAsia" w:ascii="新宋体" w:hAnsi="新宋体" w:eastAsia="新宋体"/>
              </w:rPr>
              <w:t>联合体投标</w:t>
            </w:r>
          </w:p>
        </w:tc>
        <w:tc>
          <w:tcPr>
            <w:tcW w:w="6239" w:type="dxa"/>
            <w:vAlign w:val="center"/>
          </w:tcPr>
          <w:p>
            <w:pPr>
              <w:spacing w:line="276" w:lineRule="auto"/>
              <w:rPr>
                <w:rFonts w:ascii="新宋体" w:hAnsi="新宋体" w:eastAsia="新宋体"/>
                <w:snapToGrid w:val="0"/>
                <w:kern w:val="0"/>
                <w:szCs w:val="32"/>
                <w:u w:val="single"/>
                <w:lang w:val="zh-CN"/>
              </w:rPr>
            </w:pPr>
            <w:r>
              <w:rPr>
                <w:rFonts w:hint="eastAsia" w:ascii="新宋体" w:hAnsi="新宋体" w:eastAsia="新宋体"/>
                <w:snapToGrid w:val="0"/>
                <w:kern w:val="0"/>
                <w:szCs w:val="32"/>
                <w:u w:val="single"/>
                <w:lang w:val="zh-CN"/>
              </w:rPr>
              <w:t>见《招标公告》中“投标人资格要求”部分的相关内容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827" w:type="dxa"/>
            <w:vAlign w:val="center"/>
          </w:tcPr>
          <w:p>
            <w:pPr>
              <w:spacing w:line="276" w:lineRule="auto"/>
              <w:jc w:val="center"/>
              <w:rPr>
                <w:rFonts w:ascii="新宋体" w:hAnsi="新宋体" w:eastAsia="新宋体"/>
              </w:rPr>
            </w:pPr>
            <w:r>
              <w:rPr>
                <w:rFonts w:hint="eastAsia" w:ascii="新宋体" w:hAnsi="新宋体" w:eastAsia="新宋体"/>
              </w:rPr>
              <w:t>2</w:t>
            </w:r>
          </w:p>
        </w:tc>
        <w:tc>
          <w:tcPr>
            <w:tcW w:w="2012" w:type="dxa"/>
            <w:vAlign w:val="center"/>
          </w:tcPr>
          <w:p>
            <w:pPr>
              <w:spacing w:line="276" w:lineRule="auto"/>
              <w:rPr>
                <w:rFonts w:ascii="新宋体" w:hAnsi="新宋体" w:eastAsia="新宋体"/>
              </w:rPr>
            </w:pPr>
            <w:r>
              <w:rPr>
                <w:rFonts w:hint="eastAsia" w:ascii="新宋体" w:hAnsi="新宋体" w:eastAsia="新宋体"/>
              </w:rPr>
              <w:t>投标有效期</w:t>
            </w:r>
          </w:p>
        </w:tc>
        <w:tc>
          <w:tcPr>
            <w:tcW w:w="6239" w:type="dxa"/>
            <w:vAlign w:val="center"/>
          </w:tcPr>
          <w:p>
            <w:pPr>
              <w:spacing w:line="276" w:lineRule="auto"/>
              <w:rPr>
                <w:rFonts w:ascii="新宋体" w:hAnsi="新宋体" w:eastAsia="新宋体"/>
              </w:rPr>
            </w:pPr>
            <w:r>
              <w:rPr>
                <w:rFonts w:hint="eastAsia" w:ascii="新宋体" w:hAnsi="新宋体" w:eastAsia="新宋体"/>
                <w:u w:val="single"/>
              </w:rPr>
              <w:t>120</w:t>
            </w:r>
            <w:r>
              <w:rPr>
                <w:rFonts w:ascii="新宋体" w:hAnsi="新宋体" w:eastAsia="新宋体"/>
                <w:u w:val="single"/>
              </w:rPr>
              <w:t>日历天</w:t>
            </w:r>
            <w:r>
              <w:rPr>
                <w:rFonts w:ascii="新宋体" w:hAnsi="新宋体" w:eastAsia="新宋体"/>
              </w:rPr>
              <w:t>（从投标截止之日算起）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827" w:type="dxa"/>
            <w:vAlign w:val="center"/>
          </w:tcPr>
          <w:p>
            <w:pPr>
              <w:spacing w:line="276" w:lineRule="auto"/>
              <w:jc w:val="center"/>
              <w:rPr>
                <w:rFonts w:ascii="新宋体" w:hAnsi="新宋体" w:eastAsia="新宋体"/>
              </w:rPr>
            </w:pPr>
            <w:r>
              <w:rPr>
                <w:rFonts w:hint="eastAsia" w:ascii="新宋体" w:hAnsi="新宋体" w:eastAsia="新宋体"/>
              </w:rPr>
              <w:t>3</w:t>
            </w:r>
          </w:p>
        </w:tc>
        <w:tc>
          <w:tcPr>
            <w:tcW w:w="2012" w:type="dxa"/>
            <w:vAlign w:val="center"/>
          </w:tcPr>
          <w:p>
            <w:pPr>
              <w:spacing w:line="276" w:lineRule="auto"/>
              <w:rPr>
                <w:rFonts w:ascii="新宋体" w:hAnsi="新宋体" w:eastAsia="新宋体"/>
              </w:rPr>
            </w:pPr>
            <w:r>
              <w:rPr>
                <w:rFonts w:hint="eastAsia" w:ascii="新宋体" w:hAnsi="新宋体" w:eastAsia="新宋体"/>
              </w:rPr>
              <w:t>投标人的替代方案</w:t>
            </w:r>
          </w:p>
        </w:tc>
        <w:tc>
          <w:tcPr>
            <w:tcW w:w="6239" w:type="dxa"/>
            <w:vAlign w:val="center"/>
          </w:tcPr>
          <w:p>
            <w:pPr>
              <w:spacing w:line="276" w:lineRule="auto"/>
              <w:rPr>
                <w:rFonts w:ascii="新宋体" w:hAnsi="新宋体" w:eastAsia="新宋体"/>
              </w:rPr>
            </w:pPr>
            <w:r>
              <w:rPr>
                <w:rFonts w:hint="eastAsia" w:ascii="新宋体" w:hAnsi="新宋体" w:eastAsia="新宋体"/>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827" w:type="dxa"/>
            <w:vAlign w:val="center"/>
          </w:tcPr>
          <w:p>
            <w:pPr>
              <w:spacing w:line="276" w:lineRule="auto"/>
              <w:jc w:val="center"/>
              <w:rPr>
                <w:rFonts w:ascii="新宋体" w:hAnsi="新宋体" w:eastAsia="新宋体"/>
              </w:rPr>
            </w:pPr>
            <w:r>
              <w:rPr>
                <w:rFonts w:hint="eastAsia" w:ascii="新宋体" w:hAnsi="新宋体" w:eastAsia="新宋体"/>
              </w:rPr>
              <w:t>4</w:t>
            </w:r>
          </w:p>
        </w:tc>
        <w:tc>
          <w:tcPr>
            <w:tcW w:w="2012" w:type="dxa"/>
            <w:vAlign w:val="center"/>
          </w:tcPr>
          <w:p>
            <w:pPr>
              <w:spacing w:line="276" w:lineRule="auto"/>
              <w:rPr>
                <w:rFonts w:ascii="新宋体" w:hAnsi="新宋体" w:eastAsia="新宋体"/>
              </w:rPr>
            </w:pPr>
            <w:r>
              <w:rPr>
                <w:rFonts w:hint="eastAsia" w:ascii="新宋体" w:hAnsi="新宋体" w:eastAsia="新宋体"/>
              </w:rPr>
              <w:t>投标文件的投递</w:t>
            </w:r>
          </w:p>
        </w:tc>
        <w:tc>
          <w:tcPr>
            <w:tcW w:w="6239" w:type="dxa"/>
            <w:vAlign w:val="center"/>
          </w:tcPr>
          <w:p>
            <w:pPr>
              <w:spacing w:line="276" w:lineRule="auto"/>
              <w:rPr>
                <w:rFonts w:ascii="新宋体" w:hAnsi="新宋体" w:eastAsia="新宋体"/>
              </w:rPr>
            </w:pPr>
            <w:r>
              <w:rPr>
                <w:rFonts w:hint="eastAsia" w:ascii="新宋体" w:hAnsi="新宋体" w:eastAsia="新宋体"/>
                <w:snapToGrid w:val="0"/>
                <w:szCs w:val="21"/>
                <w:lang w:val="zh-CN"/>
              </w:rPr>
              <w:t>本项目实行</w:t>
            </w:r>
            <w:bookmarkStart w:id="0" w:name="投递标书方式"/>
            <w:r>
              <w:rPr>
                <w:rFonts w:hint="eastAsia" w:ascii="新宋体" w:hAnsi="新宋体" w:eastAsia="新宋体"/>
                <w:snapToGrid w:val="0"/>
                <w:szCs w:val="21"/>
                <w:u w:val="single"/>
                <w:lang w:val="zh-CN"/>
              </w:rPr>
              <w:t>网下投标</w:t>
            </w:r>
            <w:bookmarkEnd w:id="0"/>
            <w:r>
              <w:rPr>
                <w:rFonts w:hint="eastAsia" w:ascii="新宋体" w:hAnsi="新宋体" w:eastAsia="新宋体"/>
                <w:snapToGrid w:val="0"/>
                <w:szCs w:val="21"/>
                <w:lang w:val="zh-CN"/>
              </w:rPr>
              <w:t>，按照招标文件的要求提交纸质文件正本1份，副本4份，电子文件1份（WORD和PDF格式电子文档各1份）电子文档要求U盘，PDF格式有签字盖章，不留密码，无病毒，不压缩，密封提交，所有</w:t>
            </w:r>
            <w:r>
              <w:rPr>
                <w:rFonts w:hint="eastAsia" w:ascii="新宋体" w:hAnsi="新宋体" w:eastAsia="新宋体" w:cs="宋体"/>
                <w:snapToGrid w:val="0"/>
                <w:szCs w:val="21"/>
                <w:lang w:val="zh-CN"/>
              </w:rPr>
              <w:t>应答文件</w:t>
            </w:r>
            <w:r>
              <w:rPr>
                <w:rFonts w:ascii="新宋体" w:hAnsi="新宋体" w:eastAsia="新宋体"/>
                <w:snapToGrid w:val="0"/>
                <w:szCs w:val="21"/>
                <w:lang w:val="zh-CN"/>
              </w:rPr>
              <w:t>应于</w:t>
            </w:r>
            <w:r>
              <w:rPr>
                <w:rFonts w:hint="eastAsia" w:ascii="新宋体" w:hAnsi="新宋体" w:eastAsia="新宋体"/>
                <w:snapToGrid w:val="0"/>
                <w:szCs w:val="21"/>
                <w:lang w:val="zh-CN"/>
              </w:rPr>
              <w:t>递交截止时间</w:t>
            </w:r>
            <w:r>
              <w:rPr>
                <w:rFonts w:ascii="新宋体" w:hAnsi="新宋体" w:eastAsia="新宋体"/>
                <w:snapToGrid w:val="0"/>
                <w:szCs w:val="21"/>
                <w:lang w:val="zh-CN"/>
              </w:rPr>
              <w:t>之前</w:t>
            </w:r>
            <w:r>
              <w:rPr>
                <w:rFonts w:hint="eastAsia" w:ascii="新宋体" w:hAnsi="新宋体" w:eastAsia="新宋体"/>
                <w:snapToGrid w:val="0"/>
                <w:szCs w:val="21"/>
                <w:lang w:val="zh-CN"/>
              </w:rPr>
              <w:t>送达招标文件规定的地址</w:t>
            </w:r>
            <w:r>
              <w:rPr>
                <w:rFonts w:ascii="新宋体" w:hAnsi="新宋体" w:eastAsia="新宋体"/>
                <w:snapToGrid w:val="0"/>
                <w:szCs w:val="21"/>
                <w:lang w:val="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827" w:type="dxa"/>
            <w:vAlign w:val="center"/>
          </w:tcPr>
          <w:p>
            <w:pPr>
              <w:spacing w:line="276" w:lineRule="auto"/>
              <w:jc w:val="center"/>
              <w:rPr>
                <w:rFonts w:ascii="新宋体" w:hAnsi="新宋体" w:eastAsia="新宋体"/>
              </w:rPr>
            </w:pPr>
            <w:r>
              <w:rPr>
                <w:rFonts w:hint="eastAsia" w:ascii="新宋体" w:hAnsi="新宋体" w:eastAsia="新宋体"/>
              </w:rPr>
              <w:t>5</w:t>
            </w:r>
          </w:p>
        </w:tc>
        <w:tc>
          <w:tcPr>
            <w:tcW w:w="2012" w:type="dxa"/>
            <w:vAlign w:val="center"/>
          </w:tcPr>
          <w:p>
            <w:pPr>
              <w:spacing w:line="276" w:lineRule="auto"/>
              <w:rPr>
                <w:rFonts w:ascii="新宋体" w:hAnsi="新宋体" w:eastAsia="新宋体"/>
              </w:rPr>
            </w:pPr>
            <w:r>
              <w:rPr>
                <w:rFonts w:hint="eastAsia" w:ascii="新宋体" w:hAnsi="新宋体" w:eastAsia="新宋体"/>
              </w:rPr>
              <w:t>履约保证金</w:t>
            </w:r>
          </w:p>
        </w:tc>
        <w:tc>
          <w:tcPr>
            <w:tcW w:w="6239" w:type="dxa"/>
            <w:vAlign w:val="center"/>
          </w:tcPr>
          <w:p>
            <w:pPr>
              <w:spacing w:line="276" w:lineRule="auto"/>
              <w:rPr>
                <w:rFonts w:ascii="新宋体" w:hAnsi="新宋体" w:eastAsia="新宋体"/>
              </w:rPr>
            </w:pPr>
            <w:r>
              <w:rPr>
                <w:rFonts w:hint="eastAsia" w:ascii="新宋体" w:hAnsi="新宋体" w:eastAsia="新宋体"/>
                <w:u w:val="single"/>
              </w:rPr>
              <w:t>/</w:t>
            </w:r>
            <w:r>
              <w:rPr>
                <w:rFonts w:hint="eastAsia" w:ascii="新宋体" w:hAnsi="新宋体" w:eastAsia="新宋体"/>
              </w:rPr>
              <w:t>万元或合同金额的</w:t>
            </w:r>
            <w:r>
              <w:rPr>
                <w:rFonts w:hint="eastAsia" w:ascii="新宋体" w:hAnsi="新宋体" w:eastAsia="新宋体"/>
                <w:u w:val="single"/>
              </w:rPr>
              <w:t>/</w:t>
            </w:r>
            <w:r>
              <w:rPr>
                <w:rFonts w:hint="eastAsia" w:ascii="新宋体" w:hAnsi="新宋体" w:eastAsia="新宋体"/>
              </w:rPr>
              <w:t>%，缴纳方式：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827" w:type="dxa"/>
            <w:vAlign w:val="center"/>
          </w:tcPr>
          <w:p>
            <w:pPr>
              <w:spacing w:line="276" w:lineRule="auto"/>
              <w:jc w:val="center"/>
              <w:rPr>
                <w:rFonts w:ascii="新宋体" w:hAnsi="新宋体" w:eastAsia="新宋体"/>
              </w:rPr>
            </w:pPr>
            <w:r>
              <w:rPr>
                <w:rFonts w:hint="eastAsia" w:ascii="新宋体" w:hAnsi="新宋体" w:eastAsia="新宋体"/>
              </w:rPr>
              <w:t>6</w:t>
            </w:r>
          </w:p>
        </w:tc>
        <w:tc>
          <w:tcPr>
            <w:tcW w:w="2012" w:type="dxa"/>
            <w:vAlign w:val="center"/>
          </w:tcPr>
          <w:p>
            <w:pPr>
              <w:spacing w:line="276" w:lineRule="auto"/>
              <w:rPr>
                <w:rFonts w:ascii="新宋体" w:hAnsi="新宋体" w:eastAsia="新宋体"/>
              </w:rPr>
            </w:pPr>
            <w:r>
              <w:rPr>
                <w:rFonts w:hint="eastAsia" w:ascii="新宋体" w:hAnsi="新宋体" w:eastAsia="新宋体"/>
              </w:rPr>
              <w:t>中标</w:t>
            </w:r>
            <w:r>
              <w:rPr>
                <w:rFonts w:ascii="新宋体" w:hAnsi="新宋体" w:eastAsia="新宋体"/>
              </w:rPr>
              <w:t>服务费</w:t>
            </w:r>
          </w:p>
        </w:tc>
        <w:tc>
          <w:tcPr>
            <w:tcW w:w="6239" w:type="dxa"/>
            <w:vAlign w:val="center"/>
          </w:tcPr>
          <w:p>
            <w:pPr>
              <w:spacing w:line="276" w:lineRule="auto"/>
              <w:rPr>
                <w:rFonts w:ascii="新宋体" w:hAnsi="新宋体" w:eastAsia="新宋体"/>
              </w:rPr>
            </w:pPr>
            <w:r>
              <w:rPr>
                <w:rFonts w:hint="eastAsia" w:ascii="新宋体" w:hAnsi="新宋体" w:eastAsia="新宋体"/>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肆仟元的，按肆仟元计取。</w:t>
            </w:r>
          </w:p>
        </w:tc>
      </w:tr>
    </w:tbl>
    <w:p>
      <w:pPr>
        <w:spacing w:line="360" w:lineRule="auto"/>
        <w:rPr>
          <w:rFonts w:ascii="新宋体" w:hAnsi="新宋体" w:eastAsia="新宋体"/>
          <w:b/>
        </w:rPr>
      </w:pPr>
      <w:r>
        <w:rPr>
          <w:rFonts w:hint="eastAsia" w:ascii="新宋体" w:hAnsi="新宋体" w:eastAsia="新宋体"/>
          <w:szCs w:val="21"/>
        </w:rPr>
        <w:t>备注：本表为通用条款相关内容的补充和明确，如与通用条款相冲突的以本表为准。</w:t>
      </w:r>
    </w:p>
    <w:p>
      <w:pPr>
        <w:rPr>
          <w:rFonts w:ascii="新宋体" w:hAnsi="新宋体" w:eastAsia="新宋体"/>
          <w:b/>
        </w:rPr>
      </w:pPr>
    </w:p>
    <w:p>
      <w:pPr>
        <w:pStyle w:val="3"/>
        <w:rPr>
          <w:rFonts w:ascii="新宋体" w:hAnsi="新宋体" w:eastAsia="新宋体"/>
          <w:kern w:val="44"/>
          <w:szCs w:val="28"/>
        </w:rPr>
      </w:pPr>
      <w:bookmarkStart w:id="1" w:name="_Toc128884461"/>
      <w:r>
        <w:rPr>
          <w:rFonts w:hint="eastAsia" w:ascii="新宋体" w:hAnsi="新宋体" w:eastAsia="新宋体"/>
          <w:kern w:val="44"/>
          <w:szCs w:val="28"/>
        </w:rPr>
        <w:t>二、实质性条款</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
        <w:gridCol w:w="75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pPr>
              <w:spacing w:line="276" w:lineRule="auto"/>
              <w:rPr>
                <w:rFonts w:ascii="新宋体" w:hAnsi="新宋体" w:eastAsia="新宋体"/>
              </w:rPr>
            </w:pPr>
            <w:r>
              <w:rPr>
                <w:rFonts w:hint="eastAsia" w:ascii="新宋体" w:hAnsi="新宋体" w:eastAsia="新宋体"/>
              </w:rPr>
              <w:t>序号</w:t>
            </w:r>
          </w:p>
        </w:tc>
        <w:tc>
          <w:tcPr>
            <w:tcW w:w="7938" w:type="dxa"/>
            <w:vAlign w:val="center"/>
          </w:tcPr>
          <w:p>
            <w:pPr>
              <w:spacing w:line="276" w:lineRule="auto"/>
              <w:rPr>
                <w:rFonts w:ascii="新宋体" w:hAnsi="新宋体" w:eastAsia="新宋体"/>
              </w:rPr>
            </w:pPr>
            <w:r>
              <w:rPr>
                <w:rFonts w:hint="eastAsia" w:ascii="新宋体" w:hAnsi="新宋体" w:eastAsia="新宋体"/>
              </w:rPr>
              <w:t>具体内容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pPr>
              <w:spacing w:line="276" w:lineRule="auto"/>
              <w:jc w:val="center"/>
              <w:rPr>
                <w:rFonts w:ascii="新宋体" w:hAnsi="新宋体" w:eastAsia="新宋体"/>
              </w:rPr>
            </w:pPr>
            <w:r>
              <w:rPr>
                <w:rFonts w:hint="eastAsia" w:ascii="新宋体" w:hAnsi="新宋体" w:eastAsia="新宋体"/>
              </w:rPr>
              <w:t>1</w:t>
            </w:r>
          </w:p>
        </w:tc>
        <w:tc>
          <w:tcPr>
            <w:tcW w:w="7938" w:type="dxa"/>
            <w:vAlign w:val="center"/>
          </w:tcPr>
          <w:p>
            <w:pPr>
              <w:spacing w:line="276" w:lineRule="auto"/>
              <w:jc w:val="center"/>
              <w:rPr>
                <w:rFonts w:ascii="新宋体" w:hAnsi="新宋体" w:eastAsia="新宋体"/>
              </w:rPr>
            </w:pPr>
            <w:r>
              <w:rPr>
                <w:rFonts w:hint="eastAsia" w:ascii="新宋体" w:hAnsi="新宋体" w:eastAsia="新宋体"/>
              </w:rPr>
              <w:t>完全满足本项目服务期限的要求。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pPr>
              <w:spacing w:line="276" w:lineRule="auto"/>
              <w:jc w:val="center"/>
              <w:rPr>
                <w:rFonts w:ascii="新宋体" w:hAnsi="新宋体" w:eastAsia="新宋体"/>
              </w:rPr>
            </w:pPr>
            <w:r>
              <w:rPr>
                <w:rFonts w:hint="eastAsia" w:ascii="新宋体" w:hAnsi="新宋体" w:eastAsia="新宋体"/>
              </w:rPr>
              <w:t>2</w:t>
            </w:r>
          </w:p>
        </w:tc>
        <w:tc>
          <w:tcPr>
            <w:tcW w:w="7938" w:type="dxa"/>
            <w:vAlign w:val="center"/>
          </w:tcPr>
          <w:p>
            <w:pPr>
              <w:spacing w:line="276" w:lineRule="auto"/>
              <w:jc w:val="center"/>
              <w:rPr>
                <w:rFonts w:ascii="新宋体" w:hAnsi="新宋体" w:eastAsia="新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pPr>
              <w:spacing w:line="276" w:lineRule="auto"/>
              <w:jc w:val="center"/>
              <w:rPr>
                <w:rFonts w:ascii="新宋体" w:hAnsi="新宋体" w:eastAsia="新宋体"/>
              </w:rPr>
            </w:pPr>
            <w:r>
              <w:rPr>
                <w:rFonts w:hint="eastAsia" w:ascii="新宋体" w:hAnsi="新宋体" w:eastAsia="新宋体"/>
              </w:rPr>
              <w:t>……</w:t>
            </w:r>
          </w:p>
        </w:tc>
        <w:tc>
          <w:tcPr>
            <w:tcW w:w="7938" w:type="dxa"/>
            <w:vAlign w:val="center"/>
          </w:tcPr>
          <w:p>
            <w:pPr>
              <w:spacing w:line="276" w:lineRule="auto"/>
              <w:rPr>
                <w:rFonts w:ascii="新宋体" w:hAnsi="新宋体" w:eastAsia="新宋体"/>
              </w:rPr>
            </w:pPr>
          </w:p>
        </w:tc>
      </w:tr>
    </w:tbl>
    <w:p>
      <w:pPr>
        <w:widowControl/>
        <w:spacing w:after="100" w:afterAutospacing="1" w:line="276" w:lineRule="auto"/>
        <w:jc w:val="left"/>
        <w:rPr>
          <w:rFonts w:ascii="新宋体" w:hAnsi="新宋体" w:eastAsia="新宋体"/>
          <w:kern w:val="0"/>
          <w:szCs w:val="21"/>
        </w:rPr>
      </w:pPr>
      <w:r>
        <w:rPr>
          <w:rFonts w:hint="eastAsia" w:ascii="新宋体" w:hAnsi="新宋体" w:eastAsia="新宋体"/>
          <w:kern w:val="0"/>
          <w:szCs w:val="21"/>
        </w:rPr>
        <w:t>注：上表所列内容为不可负偏离条款</w:t>
      </w:r>
    </w:p>
    <w:bookmarkEnd w:id="1"/>
    <w:p>
      <w:pPr>
        <w:pStyle w:val="3"/>
        <w:rPr>
          <w:rFonts w:ascii="新宋体" w:hAnsi="新宋体" w:eastAsia="新宋体"/>
          <w:kern w:val="44"/>
          <w:szCs w:val="28"/>
        </w:rPr>
      </w:pPr>
      <w:r>
        <w:rPr>
          <w:rFonts w:hint="eastAsia" w:ascii="新宋体" w:hAnsi="新宋体" w:eastAsia="新宋体"/>
          <w:kern w:val="44"/>
          <w:szCs w:val="28"/>
        </w:rPr>
        <w:t>三、项目概况</w:t>
      </w:r>
    </w:p>
    <w:p>
      <w:pPr>
        <w:spacing w:line="360" w:lineRule="auto"/>
        <w:rPr>
          <w:rFonts w:ascii="新宋体" w:hAnsi="新宋体" w:eastAsia="新宋体" w:cs="宋体"/>
          <w:szCs w:val="21"/>
        </w:rPr>
      </w:pPr>
      <w:r>
        <w:rPr>
          <w:rFonts w:hint="eastAsia" w:ascii="新宋体" w:hAnsi="新宋体" w:eastAsia="新宋体" w:cs="宋体"/>
          <w:szCs w:val="21"/>
        </w:rPr>
        <w:t>（一）</w:t>
      </w:r>
      <w:r>
        <w:rPr>
          <w:rFonts w:ascii="新宋体" w:hAnsi="新宋体" w:eastAsia="新宋体" w:cs="宋体"/>
          <w:szCs w:val="21"/>
        </w:rPr>
        <w:t>预算</w:t>
      </w:r>
      <w:r>
        <w:rPr>
          <w:rFonts w:hint="eastAsia" w:ascii="新宋体" w:hAnsi="新宋体" w:eastAsia="新宋体" w:cs="宋体"/>
          <w:szCs w:val="21"/>
        </w:rPr>
        <w:t>金额: 人民币柒拾万元整（700,000.00元），</w:t>
      </w:r>
      <w:r>
        <w:rPr>
          <w:rFonts w:ascii="新宋体" w:hAnsi="新宋体" w:eastAsia="新宋体" w:cs="宋体"/>
          <w:szCs w:val="21"/>
        </w:rPr>
        <w:t>最高投标限价</w:t>
      </w:r>
      <w:r>
        <w:rPr>
          <w:rFonts w:hint="eastAsia" w:ascii="新宋体" w:hAnsi="新宋体" w:eastAsia="新宋体" w:cs="宋体"/>
          <w:szCs w:val="21"/>
        </w:rPr>
        <w:t>: 人民币柒拾万元整（700,000.00元）</w:t>
      </w:r>
    </w:p>
    <w:p>
      <w:pPr>
        <w:spacing w:line="360" w:lineRule="auto"/>
        <w:rPr>
          <w:rFonts w:ascii="新宋体" w:hAnsi="新宋体" w:eastAsia="新宋体"/>
          <w:b/>
          <w:bCs/>
          <w:szCs w:val="21"/>
        </w:rPr>
      </w:pPr>
      <w:r>
        <w:rPr>
          <w:rFonts w:hint="eastAsia" w:ascii="新宋体" w:hAnsi="新宋体" w:eastAsia="新宋体" w:cs="宋体"/>
          <w:szCs w:val="21"/>
        </w:rPr>
        <w:t>（二）项目概况: 为贯彻落实《广东省工伤保险条例》《广东省关于工伤预防项目实施暂行办法》《深圳市人力资源和社会保障局 深圳市应急管理局关于印发&lt;深圳市危险化学品企业工伤预防能力提升培训工程实施方案&gt;的通知》和《深圳市人力资源和社会保障局关于发布2023年工伤预防实施项目的通知》等有关要求，扎实做好我市2023年危险化学品企业工伤预防培训工作，进一步提升企业安全管理水平，提高从业人员安全意识和自我防护意识，降低工伤事故发生率，更好地保障企业职工的人身安全和健康。</w:t>
      </w:r>
    </w:p>
    <w:p>
      <w:pPr>
        <w:pStyle w:val="3"/>
        <w:rPr>
          <w:rFonts w:ascii="新宋体" w:hAnsi="新宋体" w:eastAsia="新宋体"/>
          <w:kern w:val="44"/>
          <w:szCs w:val="28"/>
        </w:rPr>
      </w:pPr>
      <w:r>
        <w:rPr>
          <w:rFonts w:hint="eastAsia" w:ascii="新宋体" w:hAnsi="新宋体" w:eastAsia="新宋体"/>
          <w:kern w:val="44"/>
          <w:szCs w:val="28"/>
        </w:rPr>
        <w:t>四、项目技术要求</w:t>
      </w:r>
    </w:p>
    <w:p>
      <w:pPr>
        <w:spacing w:line="360" w:lineRule="auto"/>
        <w:rPr>
          <w:rFonts w:ascii="新宋体" w:hAnsi="新宋体" w:eastAsia="新宋体" w:cs="宋体"/>
          <w:b/>
          <w:kern w:val="0"/>
          <w:szCs w:val="21"/>
        </w:rPr>
      </w:pPr>
      <w:r>
        <w:rPr>
          <w:rFonts w:hint="eastAsia" w:ascii="新宋体" w:hAnsi="新宋体" w:eastAsia="新宋体" w:cs="宋体"/>
          <w:b/>
          <w:kern w:val="0"/>
          <w:szCs w:val="21"/>
        </w:rPr>
        <w:t>1.服务内容</w:t>
      </w:r>
    </w:p>
    <w:p>
      <w:pPr>
        <w:spacing w:line="360" w:lineRule="auto"/>
        <w:ind w:firstLine="420" w:firstLineChars="200"/>
        <w:rPr>
          <w:rFonts w:ascii="新宋体" w:hAnsi="新宋体" w:eastAsia="新宋体" w:cs="宋体"/>
          <w:bCs/>
          <w:kern w:val="0"/>
          <w:szCs w:val="21"/>
        </w:rPr>
      </w:pPr>
      <w:r>
        <w:rPr>
          <w:rFonts w:hint="eastAsia" w:ascii="新宋体" w:hAnsi="新宋体" w:eastAsia="新宋体" w:cs="宋体"/>
          <w:bCs/>
          <w:kern w:val="0"/>
          <w:szCs w:val="21"/>
        </w:rPr>
        <w:t>1.编制危险化学品重大危险源企业“三类人员”工伤预防培训课件及教材1套；</w:t>
      </w:r>
    </w:p>
    <w:p>
      <w:pPr>
        <w:spacing w:line="360" w:lineRule="auto"/>
        <w:ind w:firstLine="420" w:firstLineChars="200"/>
        <w:rPr>
          <w:rFonts w:ascii="新宋体" w:hAnsi="新宋体" w:eastAsia="新宋体" w:cs="宋体"/>
          <w:bCs/>
          <w:kern w:val="0"/>
          <w:szCs w:val="21"/>
        </w:rPr>
      </w:pPr>
      <w:r>
        <w:rPr>
          <w:rFonts w:hint="eastAsia" w:ascii="新宋体" w:hAnsi="新宋体" w:eastAsia="新宋体" w:cs="宋体"/>
          <w:bCs/>
          <w:kern w:val="0"/>
          <w:szCs w:val="21"/>
        </w:rPr>
        <w:t>2.编制危险化学品生产企业“三类人员”工伤预防培训课件及教材1套；</w:t>
      </w:r>
    </w:p>
    <w:p>
      <w:pPr>
        <w:spacing w:line="360" w:lineRule="auto"/>
        <w:ind w:firstLine="420" w:firstLineChars="200"/>
        <w:rPr>
          <w:rFonts w:ascii="新宋体" w:hAnsi="新宋体" w:eastAsia="新宋体" w:cs="宋体"/>
          <w:bCs/>
          <w:kern w:val="0"/>
          <w:szCs w:val="21"/>
        </w:rPr>
      </w:pPr>
      <w:r>
        <w:rPr>
          <w:rFonts w:hint="eastAsia" w:ascii="新宋体" w:hAnsi="新宋体" w:eastAsia="新宋体" w:cs="宋体"/>
          <w:bCs/>
          <w:kern w:val="0"/>
          <w:szCs w:val="21"/>
        </w:rPr>
        <w:t>3.编制化学合成类药品生产企业“三类人员”工伤预防培训课件及教材1套；</w:t>
      </w:r>
    </w:p>
    <w:p>
      <w:pPr>
        <w:spacing w:line="360" w:lineRule="auto"/>
        <w:ind w:firstLine="420" w:firstLineChars="200"/>
        <w:rPr>
          <w:rFonts w:ascii="新宋体" w:hAnsi="新宋体" w:eastAsia="新宋体" w:cs="宋体"/>
          <w:bCs/>
          <w:kern w:val="0"/>
          <w:szCs w:val="21"/>
        </w:rPr>
      </w:pPr>
      <w:r>
        <w:rPr>
          <w:rFonts w:hint="eastAsia" w:ascii="新宋体" w:hAnsi="新宋体" w:eastAsia="新宋体" w:cs="宋体"/>
          <w:bCs/>
          <w:kern w:val="0"/>
          <w:szCs w:val="21"/>
        </w:rPr>
        <w:t>4.编制加油站主要负责人、专职安全管理人员和一线班组长工伤预防培训课件及教材1套；</w:t>
      </w:r>
    </w:p>
    <w:p>
      <w:pPr>
        <w:spacing w:line="360" w:lineRule="auto"/>
        <w:ind w:firstLine="420" w:firstLineChars="200"/>
        <w:rPr>
          <w:rFonts w:ascii="新宋体" w:hAnsi="新宋体" w:eastAsia="新宋体" w:cs="宋体"/>
          <w:bCs/>
          <w:kern w:val="0"/>
          <w:szCs w:val="21"/>
        </w:rPr>
      </w:pPr>
      <w:r>
        <w:rPr>
          <w:rFonts w:hint="eastAsia" w:ascii="新宋体" w:hAnsi="新宋体" w:eastAsia="新宋体" w:cs="宋体"/>
          <w:bCs/>
          <w:kern w:val="0"/>
          <w:szCs w:val="21"/>
        </w:rPr>
        <w:t>5.编制储存设施未构成重大危险源的危险化学品带储存经营企业主要负责人、专职安全管理人员和一线班组长工伤预防培训课件及教材1套；</w:t>
      </w:r>
    </w:p>
    <w:p>
      <w:pPr>
        <w:spacing w:line="360" w:lineRule="auto"/>
        <w:ind w:firstLine="420" w:firstLineChars="200"/>
        <w:rPr>
          <w:rFonts w:ascii="新宋体" w:hAnsi="新宋体" w:eastAsia="新宋体" w:cs="宋体"/>
          <w:bCs/>
          <w:kern w:val="0"/>
          <w:szCs w:val="21"/>
        </w:rPr>
      </w:pPr>
      <w:r>
        <w:rPr>
          <w:rFonts w:hint="eastAsia" w:ascii="新宋体" w:hAnsi="新宋体" w:eastAsia="新宋体" w:cs="宋体"/>
          <w:bCs/>
          <w:kern w:val="0"/>
          <w:szCs w:val="21"/>
        </w:rPr>
        <w:t>6.编制危险化学品安全和工伤预防知识题库1套；</w:t>
      </w:r>
    </w:p>
    <w:p>
      <w:pPr>
        <w:spacing w:line="360" w:lineRule="auto"/>
        <w:ind w:firstLine="420" w:firstLineChars="200"/>
        <w:rPr>
          <w:rFonts w:ascii="新宋体" w:hAnsi="新宋体" w:eastAsia="新宋体" w:cs="宋体"/>
          <w:bCs/>
          <w:kern w:val="0"/>
          <w:szCs w:val="21"/>
        </w:rPr>
      </w:pPr>
      <w:r>
        <w:rPr>
          <w:rFonts w:hint="eastAsia" w:ascii="新宋体" w:hAnsi="新宋体" w:eastAsia="新宋体" w:cs="宋体"/>
          <w:bCs/>
          <w:kern w:val="0"/>
          <w:szCs w:val="21"/>
        </w:rPr>
        <w:t>7.汇总编制工伤预防教育培训课件1套；</w:t>
      </w:r>
    </w:p>
    <w:p>
      <w:pPr>
        <w:spacing w:line="360" w:lineRule="auto"/>
        <w:ind w:firstLine="420" w:firstLineChars="200"/>
        <w:rPr>
          <w:rFonts w:ascii="新宋体" w:hAnsi="新宋体" w:eastAsia="新宋体" w:cs="宋体"/>
          <w:bCs/>
          <w:kern w:val="0"/>
          <w:szCs w:val="21"/>
        </w:rPr>
      </w:pPr>
      <w:r>
        <w:rPr>
          <w:rFonts w:hint="eastAsia" w:ascii="新宋体" w:hAnsi="新宋体" w:eastAsia="新宋体" w:cs="宋体"/>
          <w:bCs/>
          <w:kern w:val="0"/>
          <w:szCs w:val="21"/>
        </w:rPr>
        <w:t>8.线下开展危险化学品安全和工伤预防培训人数不少于1320人，线上人数不少于1000人，并按要求分别组织上述人员完成培训考核且取得合格以上成绩，培训对象为：</w:t>
      </w:r>
    </w:p>
    <w:p>
      <w:pPr>
        <w:spacing w:line="360" w:lineRule="auto"/>
        <w:ind w:firstLine="420" w:firstLineChars="200"/>
        <w:rPr>
          <w:rFonts w:ascii="新宋体" w:hAnsi="新宋体" w:eastAsia="新宋体" w:cs="宋体"/>
          <w:bCs/>
          <w:kern w:val="0"/>
          <w:szCs w:val="21"/>
        </w:rPr>
      </w:pPr>
      <w:r>
        <w:rPr>
          <w:rFonts w:hint="eastAsia" w:ascii="新宋体" w:hAnsi="新宋体" w:eastAsia="新宋体" w:cs="宋体"/>
          <w:bCs/>
          <w:kern w:val="0"/>
          <w:szCs w:val="21"/>
        </w:rPr>
        <w:t>1）重大危险源企业、危险化学品生产经营企业、化学合成类药品生产企业“三类人员”；</w:t>
      </w:r>
    </w:p>
    <w:p>
      <w:pPr>
        <w:spacing w:line="360" w:lineRule="auto"/>
        <w:ind w:firstLine="420" w:firstLineChars="200"/>
        <w:rPr>
          <w:rFonts w:ascii="新宋体" w:hAnsi="新宋体" w:eastAsia="新宋体" w:cs="宋体"/>
          <w:bCs/>
          <w:kern w:val="0"/>
          <w:szCs w:val="21"/>
        </w:rPr>
      </w:pPr>
      <w:r>
        <w:rPr>
          <w:rFonts w:hint="eastAsia" w:ascii="新宋体" w:hAnsi="新宋体" w:eastAsia="新宋体" w:cs="宋体"/>
          <w:bCs/>
          <w:kern w:val="0"/>
          <w:szCs w:val="21"/>
        </w:rPr>
        <w:t>2）加油站、储存设施未构成重大危险源的危险化学品带储存经营企业的主要负责人、专职安全管理人员和一线班组长。</w:t>
      </w:r>
    </w:p>
    <w:p>
      <w:pPr>
        <w:spacing w:line="360" w:lineRule="auto"/>
        <w:rPr>
          <w:rFonts w:ascii="新宋体" w:hAnsi="新宋体" w:eastAsia="新宋体" w:cs="宋体"/>
          <w:b/>
          <w:kern w:val="0"/>
          <w:szCs w:val="21"/>
        </w:rPr>
      </w:pPr>
      <w:r>
        <w:rPr>
          <w:rFonts w:hint="eastAsia" w:ascii="新宋体" w:hAnsi="新宋体" w:eastAsia="新宋体" w:cs="宋体"/>
          <w:b/>
          <w:kern w:val="0"/>
          <w:szCs w:val="21"/>
        </w:rPr>
        <w:t>2.服务要求</w:t>
      </w:r>
    </w:p>
    <w:p>
      <w:pPr>
        <w:spacing w:line="360" w:lineRule="auto"/>
        <w:ind w:firstLine="420" w:firstLineChars="200"/>
        <w:rPr>
          <w:rFonts w:ascii="新宋体" w:hAnsi="新宋体" w:eastAsia="新宋体" w:cs="宋体"/>
          <w:bCs/>
          <w:kern w:val="0"/>
          <w:szCs w:val="21"/>
        </w:rPr>
      </w:pPr>
      <w:r>
        <w:rPr>
          <w:rFonts w:hint="eastAsia" w:ascii="新宋体" w:hAnsi="新宋体" w:eastAsia="新宋体" w:cs="宋体"/>
          <w:bCs/>
          <w:kern w:val="0"/>
          <w:szCs w:val="21"/>
        </w:rPr>
        <w:t>1.教育培训成品符合委托方要求，按时完成工伤预防教育培训项目要求的工作内容，并在既定目标范围内教育培训全覆盖。</w:t>
      </w:r>
    </w:p>
    <w:p>
      <w:pPr>
        <w:spacing w:line="360" w:lineRule="auto"/>
        <w:ind w:firstLine="420" w:firstLineChars="200"/>
        <w:rPr>
          <w:rFonts w:ascii="新宋体" w:hAnsi="新宋体" w:eastAsia="新宋体"/>
          <w:b/>
        </w:rPr>
      </w:pPr>
      <w:r>
        <w:rPr>
          <w:rFonts w:hint="eastAsia" w:ascii="新宋体" w:hAnsi="新宋体" w:eastAsia="新宋体" w:cs="宋体"/>
          <w:bCs/>
          <w:kern w:val="0"/>
          <w:szCs w:val="21"/>
        </w:rPr>
        <w:t>2.按时完成工伤预防培训项目要求的工作内容，收益企业或职工满意率大于85%，培训对象的知识、信念和行为分值提高大于15%，培训后跟踪回访6个月，用人单位工伤事故发生率下降10%至15%。</w:t>
      </w:r>
    </w:p>
    <w:p>
      <w:pPr>
        <w:pStyle w:val="3"/>
        <w:rPr>
          <w:rFonts w:ascii="新宋体" w:hAnsi="新宋体" w:eastAsia="新宋体"/>
          <w:kern w:val="44"/>
          <w:szCs w:val="28"/>
        </w:rPr>
      </w:pPr>
      <w:r>
        <w:rPr>
          <w:rFonts w:hint="eastAsia" w:ascii="新宋体" w:hAnsi="新宋体" w:eastAsia="新宋体"/>
          <w:kern w:val="44"/>
          <w:szCs w:val="28"/>
        </w:rPr>
        <w:t>五、项目商务要求</w:t>
      </w:r>
    </w:p>
    <w:p>
      <w:pPr>
        <w:numPr>
          <w:ilvl w:val="0"/>
          <w:numId w:val="1"/>
        </w:numPr>
        <w:spacing w:line="360" w:lineRule="auto"/>
        <w:rPr>
          <w:rFonts w:ascii="新宋体" w:hAnsi="新宋体" w:eastAsia="新宋体" w:cstheme="minorBidi"/>
          <w:szCs w:val="22"/>
        </w:rPr>
      </w:pPr>
      <w:r>
        <w:rPr>
          <w:rFonts w:hint="eastAsia" w:ascii="新宋体" w:hAnsi="新宋体" w:eastAsia="新宋体" w:cstheme="minorBidi"/>
          <w:b/>
          <w:bCs/>
          <w:szCs w:val="22"/>
        </w:rPr>
        <w:t>服务期限</w:t>
      </w:r>
      <w:r>
        <w:rPr>
          <w:rFonts w:hint="eastAsia" w:ascii="新宋体" w:hAnsi="新宋体" w:eastAsia="新宋体" w:cstheme="minorBidi"/>
          <w:szCs w:val="22"/>
        </w:rPr>
        <w:t>：</w:t>
      </w:r>
    </w:p>
    <w:p>
      <w:pPr>
        <w:spacing w:line="360" w:lineRule="auto"/>
        <w:ind w:firstLine="420" w:firstLineChars="200"/>
        <w:rPr>
          <w:rFonts w:ascii="新宋体" w:hAnsi="新宋体" w:eastAsia="新宋体" w:cstheme="minorBidi"/>
          <w:szCs w:val="22"/>
        </w:rPr>
      </w:pPr>
      <w:r>
        <w:rPr>
          <w:rFonts w:hint="eastAsia" w:ascii="新宋体" w:hAnsi="新宋体" w:eastAsia="新宋体" w:cstheme="minorBidi"/>
          <w:szCs w:val="22"/>
          <w:lang w:eastAsia="zh-Hans"/>
        </w:rPr>
        <w:t>项目自合同签订之日起至202</w:t>
      </w:r>
      <w:r>
        <w:rPr>
          <w:rFonts w:ascii="新宋体" w:hAnsi="新宋体" w:eastAsia="新宋体" w:cstheme="minorBidi"/>
          <w:szCs w:val="22"/>
          <w:lang w:eastAsia="zh-Hans"/>
        </w:rPr>
        <w:t>3</w:t>
      </w:r>
      <w:r>
        <w:rPr>
          <w:rFonts w:hint="eastAsia" w:ascii="新宋体" w:hAnsi="新宋体" w:eastAsia="新宋体" w:cstheme="minorBidi"/>
          <w:szCs w:val="22"/>
          <w:lang w:eastAsia="zh-Hans"/>
        </w:rPr>
        <w:t>年</w:t>
      </w:r>
      <w:r>
        <w:rPr>
          <w:rFonts w:ascii="新宋体" w:hAnsi="新宋体" w:eastAsia="新宋体" w:cstheme="minorBidi"/>
          <w:szCs w:val="22"/>
          <w:lang w:eastAsia="zh-Hans"/>
        </w:rPr>
        <w:t>11</w:t>
      </w:r>
      <w:r>
        <w:rPr>
          <w:rFonts w:hint="eastAsia" w:ascii="新宋体" w:hAnsi="新宋体" w:eastAsia="新宋体" w:cstheme="minorBidi"/>
          <w:szCs w:val="22"/>
          <w:lang w:eastAsia="zh-Hans"/>
        </w:rPr>
        <w:t>月</w:t>
      </w:r>
      <w:r>
        <w:rPr>
          <w:rFonts w:ascii="新宋体" w:hAnsi="新宋体" w:eastAsia="新宋体" w:cstheme="minorBidi"/>
          <w:szCs w:val="22"/>
        </w:rPr>
        <w:t>30</w:t>
      </w:r>
      <w:r>
        <w:rPr>
          <w:rFonts w:hint="eastAsia" w:ascii="新宋体" w:hAnsi="新宋体" w:eastAsia="新宋体" w:cstheme="minorBidi"/>
          <w:szCs w:val="22"/>
          <w:lang w:eastAsia="zh-Hans"/>
        </w:rPr>
        <w:t>日。</w:t>
      </w:r>
    </w:p>
    <w:p>
      <w:pPr>
        <w:numPr>
          <w:ilvl w:val="0"/>
          <w:numId w:val="1"/>
        </w:numPr>
        <w:spacing w:line="360" w:lineRule="auto"/>
        <w:rPr>
          <w:rFonts w:ascii="新宋体" w:hAnsi="新宋体" w:eastAsia="新宋体" w:cstheme="minorBidi"/>
          <w:b/>
          <w:bCs/>
          <w:szCs w:val="22"/>
        </w:rPr>
      </w:pPr>
      <w:r>
        <w:rPr>
          <w:rFonts w:hint="eastAsia" w:ascii="新宋体" w:hAnsi="新宋体" w:eastAsia="新宋体" w:cstheme="minorBidi"/>
          <w:b/>
          <w:bCs/>
          <w:szCs w:val="22"/>
        </w:rPr>
        <w:t>项目成果</w:t>
      </w:r>
    </w:p>
    <w:p>
      <w:pPr>
        <w:spacing w:line="360" w:lineRule="auto"/>
        <w:ind w:firstLine="420" w:firstLineChars="200"/>
        <w:rPr>
          <w:rFonts w:ascii="新宋体" w:hAnsi="新宋体" w:eastAsia="新宋体" w:cstheme="minorBidi"/>
          <w:szCs w:val="22"/>
          <w:lang w:eastAsia="zh-Hans"/>
        </w:rPr>
      </w:pPr>
      <w:r>
        <w:rPr>
          <w:rFonts w:hint="eastAsia" w:ascii="新宋体" w:hAnsi="新宋体" w:eastAsia="新宋体" w:cstheme="minorBidi"/>
          <w:szCs w:val="22"/>
          <w:lang w:eastAsia="zh-Hans"/>
        </w:rPr>
        <w:t>各类培训教材</w:t>
      </w:r>
      <w:r>
        <w:rPr>
          <w:rFonts w:hint="eastAsia" w:ascii="新宋体" w:hAnsi="新宋体" w:eastAsia="新宋体" w:cstheme="minorBidi"/>
          <w:szCs w:val="22"/>
        </w:rPr>
        <w:t>、题库及项目总结等。</w:t>
      </w:r>
    </w:p>
    <w:p>
      <w:pPr>
        <w:numPr>
          <w:ilvl w:val="0"/>
          <w:numId w:val="1"/>
        </w:numPr>
        <w:spacing w:line="360" w:lineRule="auto"/>
        <w:rPr>
          <w:rFonts w:ascii="新宋体" w:hAnsi="新宋体" w:eastAsia="新宋体" w:cstheme="minorBidi"/>
          <w:b/>
          <w:bCs/>
          <w:szCs w:val="22"/>
        </w:rPr>
      </w:pPr>
      <w:r>
        <w:rPr>
          <w:rFonts w:hint="eastAsia" w:ascii="新宋体" w:hAnsi="新宋体" w:eastAsia="新宋体" w:cstheme="minorBidi"/>
          <w:b/>
          <w:bCs/>
          <w:szCs w:val="22"/>
        </w:rPr>
        <w:t>验收要求</w:t>
      </w:r>
    </w:p>
    <w:p>
      <w:pPr>
        <w:spacing w:line="360" w:lineRule="auto"/>
        <w:ind w:firstLine="420" w:firstLineChars="200"/>
        <w:rPr>
          <w:rFonts w:ascii="新宋体" w:hAnsi="新宋体" w:eastAsia="新宋体" w:cstheme="minorBidi"/>
          <w:szCs w:val="22"/>
        </w:rPr>
      </w:pPr>
      <w:r>
        <w:rPr>
          <w:rFonts w:hint="eastAsia" w:ascii="新宋体" w:hAnsi="新宋体" w:eastAsia="新宋体" w:cstheme="minorBidi"/>
          <w:szCs w:val="22"/>
        </w:rPr>
        <w:t>相关成果应通过采购方验收要求。</w:t>
      </w:r>
    </w:p>
    <w:p>
      <w:pPr>
        <w:spacing w:line="360" w:lineRule="auto"/>
        <w:rPr>
          <w:rFonts w:ascii="新宋体" w:hAnsi="新宋体" w:eastAsia="新宋体" w:cstheme="minorBidi"/>
          <w:szCs w:val="22"/>
        </w:rPr>
      </w:pPr>
      <w:r>
        <w:rPr>
          <w:rFonts w:hint="eastAsia" w:ascii="新宋体" w:hAnsi="新宋体" w:eastAsia="新宋体" w:cstheme="minorBidi"/>
          <w:b/>
          <w:bCs/>
          <w:szCs w:val="22"/>
        </w:rPr>
        <w:t>（四）付款方式</w:t>
      </w:r>
      <w:r>
        <w:rPr>
          <w:rFonts w:hint="eastAsia" w:ascii="新宋体" w:hAnsi="新宋体" w:eastAsia="新宋体" w:cstheme="minorBidi"/>
          <w:szCs w:val="22"/>
        </w:rPr>
        <w:t>：</w:t>
      </w:r>
    </w:p>
    <w:p>
      <w:pPr>
        <w:spacing w:line="360" w:lineRule="auto"/>
        <w:ind w:firstLine="420" w:firstLineChars="200"/>
        <w:rPr>
          <w:rFonts w:ascii="新宋体" w:hAnsi="新宋体" w:eastAsia="新宋体" w:cstheme="minorBidi"/>
          <w:szCs w:val="22"/>
        </w:rPr>
      </w:pPr>
      <w:r>
        <w:rPr>
          <w:rFonts w:hint="eastAsia" w:ascii="新宋体" w:hAnsi="新宋体" w:eastAsia="新宋体" w:cstheme="minorBidi"/>
          <w:szCs w:val="22"/>
        </w:rPr>
        <w:t>按合同要求，完成相关工作，提交相关资料，通过验收后，我局一次性支付项目合同总额。</w:t>
      </w:r>
    </w:p>
    <w:p>
      <w:pPr>
        <w:spacing w:line="360" w:lineRule="auto"/>
        <w:ind w:firstLine="420" w:firstLineChars="200"/>
        <w:rPr>
          <w:rFonts w:ascii="新宋体" w:hAnsi="新宋体" w:eastAsia="新宋体" w:cstheme="minorBidi"/>
          <w:szCs w:val="22"/>
        </w:rPr>
      </w:pPr>
      <w:r>
        <w:rPr>
          <w:rFonts w:hint="eastAsia" w:ascii="新宋体" w:hAnsi="新宋体" w:eastAsia="新宋体" w:cstheme="minorBidi"/>
          <w:szCs w:val="22"/>
        </w:rPr>
        <w:t>中标人需在采购人付款前向采购人开具正式发票进行结算。</w:t>
      </w:r>
    </w:p>
    <w:p>
      <w:pPr>
        <w:spacing w:line="360" w:lineRule="auto"/>
        <w:ind w:firstLine="420" w:firstLineChars="200"/>
        <w:rPr>
          <w:rFonts w:ascii="新宋体" w:hAnsi="新宋体" w:eastAsia="新宋体" w:cstheme="minorBidi"/>
          <w:szCs w:val="22"/>
        </w:rPr>
      </w:pPr>
      <w:r>
        <w:rPr>
          <w:rFonts w:hint="eastAsia" w:ascii="新宋体" w:hAnsi="新宋体" w:eastAsia="新宋体" w:cstheme="minorBidi"/>
          <w:szCs w:val="22"/>
        </w:rPr>
        <w:t>因采购人使用的是财政资金，采购人在前款规定的付款时间为向政府采购支付部门提出办理财政支付申请手续的时间（不含政府财政支付部门审核的时间），在规定时间内提出支付申请手续后即视为采购人已经按期支付。上述款项中标人应按照采购人的要求及流程申请付款，采购人按照财政支付程序办理付款手续，且在拨款到位后支付。</w:t>
      </w:r>
    </w:p>
    <w:p>
      <w:pPr>
        <w:spacing w:line="360" w:lineRule="auto"/>
        <w:ind w:firstLine="420" w:firstLineChars="200"/>
        <w:rPr>
          <w:rFonts w:ascii="新宋体" w:hAnsi="新宋体" w:eastAsia="新宋体" w:cstheme="minorBidi"/>
          <w:szCs w:val="22"/>
        </w:rPr>
      </w:pPr>
      <w:r>
        <w:rPr>
          <w:rFonts w:hint="eastAsia" w:ascii="新宋体" w:hAnsi="新宋体" w:eastAsia="新宋体" w:cstheme="minorBidi"/>
          <w:szCs w:val="22"/>
        </w:rPr>
        <w:t>特别提示：若因中标人原因或财政拨款问题导致的迟延支付，采购人不承担任何责任。</w:t>
      </w:r>
      <w:r>
        <w:rPr>
          <w:rFonts w:hint="eastAsia" w:ascii="新宋体" w:hAnsi="新宋体" w:eastAsia="新宋体" w:cstheme="minorBidi"/>
          <w:szCs w:val="22"/>
        </w:rPr>
        <w:br w:type="textWrapping"/>
      </w:r>
      <w:r>
        <w:rPr>
          <w:rFonts w:hint="eastAsia" w:ascii="新宋体" w:hAnsi="新宋体" w:eastAsia="新宋体" w:cstheme="minorBidi"/>
          <w:b/>
          <w:bCs/>
          <w:szCs w:val="22"/>
        </w:rPr>
        <w:t>（五）知识产权：</w:t>
      </w:r>
    </w:p>
    <w:p>
      <w:pPr>
        <w:spacing w:line="360" w:lineRule="auto"/>
        <w:ind w:firstLine="420" w:firstLineChars="200"/>
        <w:rPr>
          <w:rFonts w:ascii="新宋体" w:hAnsi="新宋体" w:eastAsia="新宋体" w:cstheme="minorBidi"/>
          <w:szCs w:val="22"/>
        </w:rPr>
      </w:pPr>
      <w:r>
        <w:rPr>
          <w:rFonts w:hint="eastAsia" w:ascii="新宋体" w:hAnsi="新宋体" w:eastAsia="新宋体" w:cstheme="minorBidi"/>
          <w:szCs w:val="22"/>
        </w:rPr>
        <w:t>1.中标人在履行合同的过程中不得侵犯他人产权，不得提供虚假知识产权申请材料或者违背知识产权合规性承诺，否则依法追究其违约等责任，并将其失信违法信息依法纳入公共信用信息系统。</w:t>
      </w:r>
    </w:p>
    <w:p>
      <w:pPr>
        <w:pStyle w:val="3"/>
        <w:spacing w:line="360" w:lineRule="auto"/>
        <w:ind w:firstLine="420" w:firstLineChars="200"/>
        <w:rPr>
          <w:rFonts w:ascii="新宋体" w:hAnsi="新宋体" w:eastAsia="新宋体" w:cstheme="minorBidi"/>
          <w:b w:val="0"/>
          <w:bCs w:val="0"/>
          <w:sz w:val="21"/>
          <w:szCs w:val="22"/>
        </w:rPr>
      </w:pPr>
      <w:r>
        <w:rPr>
          <w:rFonts w:hint="eastAsia" w:ascii="新宋体" w:hAnsi="新宋体" w:eastAsia="新宋体" w:cstheme="minorBidi"/>
          <w:b w:val="0"/>
          <w:bCs w:val="0"/>
          <w:sz w:val="21"/>
          <w:szCs w:val="22"/>
        </w:rPr>
        <w:t>2.中标人应保证采购人在使用该项目成果或其任何一部分时免受第三方提出侵犯其专利、商标、版权等知识产权或商品名称及其他权利的起诉及索赔。若采购人因此被第三方起诉或以其它方式追究责任，中标人应赔偿因采购人被第三方索赔所引起的一切损失，包括但不限于采购人所支付的侵权损害赔偿费、律师费、诉讼费、仲裁费、办案差旅费等因应诉、沟通协调所发的一切费用。</w:t>
      </w:r>
    </w:p>
    <w:p>
      <w:pPr>
        <w:pStyle w:val="3"/>
        <w:rPr>
          <w:rFonts w:ascii="新宋体" w:hAnsi="新宋体" w:eastAsia="新宋体"/>
          <w:kern w:val="44"/>
          <w:szCs w:val="28"/>
        </w:rPr>
      </w:pPr>
      <w:r>
        <w:rPr>
          <w:rFonts w:hint="eastAsia" w:ascii="新宋体" w:hAnsi="新宋体" w:eastAsia="新宋体"/>
          <w:kern w:val="44"/>
          <w:szCs w:val="28"/>
        </w:rPr>
        <w:t>六、投标报价</w:t>
      </w:r>
    </w:p>
    <w:p>
      <w:pPr>
        <w:spacing w:line="360" w:lineRule="auto"/>
        <w:rPr>
          <w:rFonts w:ascii="新宋体" w:hAnsi="新宋体" w:eastAsia="新宋体" w:cs="宋体"/>
          <w:szCs w:val="21"/>
        </w:rPr>
      </w:pPr>
      <w:r>
        <w:rPr>
          <w:rFonts w:hint="eastAsia" w:ascii="新宋体" w:hAnsi="新宋体" w:eastAsia="新宋体" w:cs="宋体"/>
          <w:szCs w:val="21"/>
        </w:rPr>
        <w:t>1.本项目服务费采用包干制，应包括服务成本、法定税费和企业的利润。由企业根据招标文件所提供的资料自行测算投标报价；一经中标，投标报价总价作为中标单位与采购人签定的合同金额，合同期限内不做调整。</w:t>
      </w:r>
    </w:p>
    <w:p>
      <w:pPr>
        <w:spacing w:line="360" w:lineRule="auto"/>
        <w:rPr>
          <w:rFonts w:ascii="新宋体" w:hAnsi="新宋体" w:eastAsia="新宋体" w:cs="宋体"/>
          <w:szCs w:val="21"/>
        </w:rPr>
      </w:pPr>
      <w:r>
        <w:rPr>
          <w:rFonts w:hint="eastAsia" w:ascii="新宋体" w:hAnsi="新宋体" w:eastAsia="新宋体" w:cs="宋体"/>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spacing w:line="360" w:lineRule="auto"/>
        <w:rPr>
          <w:rFonts w:ascii="新宋体" w:hAnsi="新宋体" w:eastAsia="新宋体" w:cs="宋体"/>
          <w:szCs w:val="21"/>
        </w:rPr>
      </w:pPr>
      <w:r>
        <w:rPr>
          <w:rFonts w:hint="eastAsia" w:ascii="新宋体" w:hAnsi="新宋体" w:eastAsia="新宋体" w:cs="宋体"/>
          <w:szCs w:val="21"/>
        </w:rPr>
        <w:t>3.投标人的投标报价，应是本项目招标范围和招标文件及合同条款上所列的各项内容中所述的全部，不得以任何理由予以重复，并以投标人在投标文件中提出的综合单价或总价为依据。</w:t>
      </w:r>
    </w:p>
    <w:p>
      <w:pPr>
        <w:spacing w:line="360" w:lineRule="auto"/>
        <w:rPr>
          <w:rFonts w:ascii="新宋体" w:hAnsi="新宋体" w:eastAsia="新宋体" w:cs="宋体"/>
          <w:szCs w:val="21"/>
        </w:rPr>
      </w:pPr>
      <w:r>
        <w:rPr>
          <w:rFonts w:hint="eastAsia" w:ascii="新宋体" w:hAnsi="新宋体" w:eastAsia="新宋体" w:cs="宋体"/>
          <w:szCs w:val="21"/>
        </w:rPr>
        <w:t>4.除非政府集中采购机构通过修改招标文件予以更正，否则，投标人应毫无例外地按招标文件所列的清单中项目和数量填报综合单价或总价。投标人未填综合单价或总价的项目，在实施后，将不得以支付，并视作该项费用已包括在其它有价款的综合单价或总价内。</w:t>
      </w:r>
    </w:p>
    <w:p>
      <w:pPr>
        <w:spacing w:line="360" w:lineRule="auto"/>
        <w:rPr>
          <w:rFonts w:ascii="新宋体" w:hAnsi="新宋体" w:eastAsia="新宋体" w:cs="宋体"/>
          <w:szCs w:val="21"/>
        </w:rPr>
      </w:pPr>
      <w:r>
        <w:rPr>
          <w:rFonts w:hint="eastAsia" w:ascii="新宋体" w:hAnsi="新宋体" w:eastAsia="新宋体" w:cs="宋体"/>
          <w:szCs w:val="21"/>
        </w:rPr>
        <w:t>5.投标人应充分了解项目的位置、情况、道路及任何其它足以影响投标报价的情况，任何因忽视或误解项目情况而导致的索赔或服务期限延长申请将不获批准。</w:t>
      </w:r>
    </w:p>
    <w:p>
      <w:pPr>
        <w:spacing w:line="360" w:lineRule="auto"/>
      </w:pPr>
      <w:r>
        <w:rPr>
          <w:rFonts w:hint="eastAsia" w:ascii="新宋体" w:hAnsi="新宋体" w:eastAsia="新宋体" w:cs="宋体"/>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bookmarkStart w:id="2" w:name="_GoBack"/>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modern"/>
    <w:pitch w:val="default"/>
    <w:sig w:usb0="00000283" w:usb1="288F0000" w:usb2="0000000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8B3B835"/>
    <w:multiLevelType w:val="singleLevel"/>
    <w:tmpl w:val="68B3B835"/>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U2ZWE1MzJlYzhlMzYwM2NlNjg2NGE5OWUzY2ZhZTgifQ=="/>
  </w:docVars>
  <w:rsids>
    <w:rsidRoot w:val="00000000"/>
    <w:rsid w:val="3BF30C16"/>
    <w:rsid w:val="440B07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adjustRightInd w:val="0"/>
      <w:jc w:val="center"/>
      <w:textAlignment w:val="baseline"/>
      <w:outlineLvl w:val="1"/>
    </w:pPr>
    <w:rPr>
      <w:kern w:val="0"/>
      <w:sz w:val="24"/>
      <w:szCs w:val="20"/>
    </w:rPr>
  </w:style>
  <w:style w:type="paragraph" w:styleId="3">
    <w:name w:val="heading 3"/>
    <w:basedOn w:val="4"/>
    <w:next w:val="1"/>
    <w:qFormat/>
    <w:uiPriority w:val="0"/>
    <w:pPr>
      <w:spacing w:before="260" w:after="260" w:line="240" w:lineRule="auto"/>
      <w:outlineLvl w:val="2"/>
    </w:pPr>
    <w:rPr>
      <w:rFonts w:ascii="宋体" w:hAnsi="宋体" w:eastAsia="宋体"/>
      <w:szCs w:val="32"/>
    </w:rPr>
  </w:style>
  <w:style w:type="paragraph" w:styleId="4">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5">
    <w:name w:val="Normal Indent"/>
    <w:basedOn w:val="1"/>
    <w:qFormat/>
    <w:uiPriority w:val="0"/>
    <w:pPr>
      <w:ind w:firstLine="420"/>
    </w:pPr>
    <w:rPr>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2496</Words>
  <Characters>2576</Characters>
  <Lines>0</Lines>
  <Paragraphs>0</Paragraphs>
  <TotalTime>0</TotalTime>
  <ScaleCrop>false</ScaleCrop>
  <LinksUpToDate>false</LinksUpToDate>
  <CharactersWithSpaces>2591</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2023-04-06T08:46:00Z</dcterms:created>
  <dc:creator>WF</dc:creator>
  <cp:lastModifiedBy>WF</cp:lastModifiedBy>
  <dcterms:modified xsi:type="dcterms:W3CDTF">2023-04-11T00:57:58Z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4B4EB10787C14FC1BFE7EFB7A925F281_12</vt:lpwstr>
  </property>
</Properties>
</file>