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894" w:rsidRDefault="00E51894" w:rsidP="00E51894">
      <w:pPr>
        <w:pStyle w:val="3"/>
        <w:rPr>
          <w:rFonts w:ascii="新宋体" w:eastAsia="新宋体" w:hAnsi="新宋体"/>
          <w:kern w:val="44"/>
          <w:szCs w:val="28"/>
        </w:rPr>
      </w:pPr>
      <w:r>
        <w:rPr>
          <w:rFonts w:ascii="新宋体" w:eastAsia="新宋体" w:hAnsi="新宋体" w:hint="eastAsia"/>
          <w:kern w:val="44"/>
          <w:szCs w:val="28"/>
        </w:rPr>
        <w:t>三、项目概况</w:t>
      </w:r>
    </w:p>
    <w:p w:rsidR="00E51894" w:rsidRDefault="00E51894" w:rsidP="00E51894">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B83452">
        <w:rPr>
          <w:rFonts w:ascii="新宋体" w:eastAsia="新宋体" w:hAnsi="新宋体" w:cs="宋体"/>
          <w:szCs w:val="21"/>
        </w:rPr>
        <w:t>:</w:t>
      </w:r>
      <w:r>
        <w:rPr>
          <w:rFonts w:ascii="新宋体" w:eastAsia="新宋体" w:hAnsi="新宋体" w:cs="宋体"/>
          <w:szCs w:val="21"/>
        </w:rPr>
        <w:t xml:space="preserve"> </w:t>
      </w:r>
      <w:r w:rsidRPr="00FA316F">
        <w:rPr>
          <w:rFonts w:ascii="新宋体" w:eastAsia="新宋体" w:hAnsi="新宋体" w:cs="宋体" w:hint="eastAsia"/>
          <w:szCs w:val="21"/>
        </w:rPr>
        <w:t>人民币玖拾万元（900,000.00）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FA316F">
        <w:rPr>
          <w:rFonts w:ascii="新宋体" w:eastAsia="新宋体" w:hAnsi="新宋体" w:cs="宋体" w:hint="eastAsia"/>
          <w:szCs w:val="21"/>
        </w:rPr>
        <w:t>人民币玖拾万元（900,000.00）</w:t>
      </w:r>
    </w:p>
    <w:p w:rsidR="00E51894" w:rsidRDefault="00E51894" w:rsidP="00E51894">
      <w:pPr>
        <w:spacing w:line="360" w:lineRule="auto"/>
        <w:rPr>
          <w:rFonts w:ascii="新宋体" w:eastAsia="新宋体" w:hAnsi="新宋体" w:cs="宋体"/>
          <w:szCs w:val="21"/>
        </w:rPr>
      </w:pPr>
      <w:r>
        <w:rPr>
          <w:rFonts w:ascii="新宋体" w:eastAsia="新宋体" w:hAnsi="新宋体" w:cs="宋体" w:hint="eastAsia"/>
          <w:szCs w:val="21"/>
        </w:rPr>
        <w:t>（二）项目概况</w:t>
      </w:r>
      <w:r w:rsidRPr="00B83452">
        <w:rPr>
          <w:rFonts w:ascii="新宋体" w:eastAsia="新宋体" w:hAnsi="新宋体" w:cs="宋体"/>
          <w:szCs w:val="21"/>
        </w:rPr>
        <w:t>:</w:t>
      </w:r>
      <w:r>
        <w:rPr>
          <w:rFonts w:ascii="新宋体" w:eastAsia="新宋体" w:hAnsi="新宋体" w:cs="宋体"/>
          <w:szCs w:val="21"/>
        </w:rPr>
        <w:t xml:space="preserve"> </w:t>
      </w:r>
    </w:p>
    <w:p w:rsidR="00E51894" w:rsidRPr="00F825E5" w:rsidRDefault="00E51894" w:rsidP="00E51894">
      <w:pPr>
        <w:spacing w:line="360" w:lineRule="auto"/>
        <w:ind w:firstLineChars="200" w:firstLine="420"/>
        <w:rPr>
          <w:rFonts w:ascii="新宋体" w:eastAsia="新宋体" w:hAnsi="新宋体" w:cs="宋体"/>
          <w:szCs w:val="21"/>
        </w:rPr>
      </w:pPr>
      <w:r w:rsidRPr="00F825E5">
        <w:rPr>
          <w:rFonts w:ascii="新宋体" w:eastAsia="新宋体" w:hAnsi="新宋体" w:cs="宋体" w:hint="eastAsia"/>
          <w:szCs w:val="21"/>
        </w:rPr>
        <w:t>精准预报是气象部门赖以生存的生命线，国务院印发的《气象高质量发展纲要（2022-2035）》在短临预报方向明确提出实现提前1小时预警局地强天气的目标。为切实落实“预报精准、服务精细”和市委“持续提升‘全灾种监测、全时域响应、全行业研判、全周期服务、全方位赋能’水平，不断提升我市防灾减灾救灾能力”的要求，按照《粤港澳大湾区（广东部分）气象发展三年行动计划（2021—2023年）的实施方案》、深圳市气象发展"十四五"规划 (2021- 2025年)等文件“重点发展数值预报客观订正、人工智能临近预报算法等算法技术，形成分钟级精细化预报服务能力”等文件精神，深圳市气象局不断充分发挥大数据、人工智能等新一代信息技术在短临预报预警技术开发中的应用，发展了基于深度学习的降水临近预报技术，建立了强降水智能临近预报业务，提升了降水强度变化和位置预测的能力。为推进深圳市气象局2023年重点任务“精准预报攻坚行动，优化智能预报技术体系，完善以人工智能技术应用、数值预报研发及解释应用为支撑的智能预报技术体系”，提升降水临近预警提前量、预报准确性和定量化水平，提供更精细化的服务产品，需要进一步开展强降水智能临近预报业务运行和维护，提升和保障精细化的强降水实时灾害监测和临近预报预警能力，为强降水精细化的临近预报预警气象服务提供关键支撑。</w:t>
      </w:r>
    </w:p>
    <w:p w:rsidR="00E51894" w:rsidRDefault="00E51894" w:rsidP="00E51894">
      <w:pPr>
        <w:pStyle w:val="3"/>
        <w:rPr>
          <w:rFonts w:ascii="新宋体" w:eastAsia="新宋体" w:hAnsi="新宋体"/>
          <w:kern w:val="44"/>
          <w:szCs w:val="28"/>
        </w:rPr>
      </w:pPr>
      <w:r>
        <w:rPr>
          <w:rFonts w:ascii="新宋体" w:eastAsia="新宋体" w:hAnsi="新宋体" w:hint="eastAsia"/>
          <w:kern w:val="44"/>
          <w:szCs w:val="28"/>
        </w:rPr>
        <w:t>四、项目技术要求</w:t>
      </w:r>
    </w:p>
    <w:p w:rsidR="00E51894" w:rsidRDefault="00E51894" w:rsidP="00E51894">
      <w:pPr>
        <w:spacing w:line="360" w:lineRule="auto"/>
        <w:rPr>
          <w:rFonts w:ascii="新宋体" w:eastAsia="新宋体" w:hAnsi="新宋体"/>
          <w:b/>
          <w:szCs w:val="21"/>
        </w:rPr>
      </w:pPr>
      <w:r>
        <w:rPr>
          <w:rFonts w:ascii="新宋体" w:eastAsia="新宋体" w:hAnsi="新宋体" w:hint="eastAsia"/>
          <w:b/>
          <w:szCs w:val="21"/>
        </w:rPr>
        <w:t>（一）项目建设内容</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强降水智能临近预报业务维护项目主要包括降水智能临近预报平台运行维护及改进，智能临近预报算法的完善和优化，保障临近预报客观检验稳定运行，确保深港智能临近预报产品的交换和共享，完善高分辨率数值模式基础数据集、发展基于高分辨率数值模式智能订正及产品，以及重大天气过程保障服务及信息</w:t>
      </w:r>
      <w:proofErr w:type="gramStart"/>
      <w:r>
        <w:rPr>
          <w:rFonts w:ascii="新宋体" w:eastAsia="新宋体" w:hAnsi="新宋体" w:hint="eastAsia"/>
          <w:szCs w:val="21"/>
        </w:rPr>
        <w:t>安全运</w:t>
      </w:r>
      <w:proofErr w:type="gramEnd"/>
      <w:r>
        <w:rPr>
          <w:rFonts w:ascii="新宋体" w:eastAsia="新宋体" w:hAnsi="新宋体" w:hint="eastAsia"/>
          <w:szCs w:val="21"/>
        </w:rPr>
        <w:t>维等内容。具体内容如下：</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ab/>
        <w:t>智能临近预报平台运行维护及优化</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1.1多种临近预报产品显示的维护和优化</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根据临近预报业务和服务的需求，对智能临近预报平台雷达回波预测、定量降水估测</w:t>
      </w:r>
      <w:r>
        <w:rPr>
          <w:rFonts w:ascii="新宋体" w:eastAsia="新宋体" w:hAnsi="新宋体" w:hint="eastAsia"/>
          <w:szCs w:val="21"/>
        </w:rPr>
        <w:lastRenderedPageBreak/>
        <w:t>QPE、定量降水预测QPF等各模块功能产品日常显示运行进行维护，确保至少四种以上临近预报算法的产品显示应用和稳定运行。完善</w:t>
      </w:r>
      <w:proofErr w:type="gramStart"/>
      <w:r>
        <w:rPr>
          <w:rFonts w:ascii="新宋体" w:eastAsia="新宋体" w:hAnsi="新宋体" w:hint="eastAsia"/>
          <w:szCs w:val="21"/>
        </w:rPr>
        <w:t>分钟级</w:t>
      </w:r>
      <w:proofErr w:type="gramEnd"/>
      <w:r>
        <w:rPr>
          <w:rFonts w:ascii="新宋体" w:eastAsia="新宋体" w:hAnsi="新宋体" w:hint="eastAsia"/>
          <w:szCs w:val="21"/>
        </w:rPr>
        <w:t>降雨产品的图形化显示方式、实现新集成应用的临近预报算法产品的统一显示和应用。</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1.2 改进强降水自动预警提示功能</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充分应用自动气象站监测数据、智能临近预报数据以及历史阈值信息等多</w:t>
      </w:r>
      <w:proofErr w:type="gramStart"/>
      <w:r>
        <w:rPr>
          <w:rFonts w:ascii="新宋体" w:eastAsia="新宋体" w:hAnsi="新宋体" w:hint="eastAsia"/>
          <w:szCs w:val="21"/>
        </w:rPr>
        <w:t>源数据</w:t>
      </w:r>
      <w:proofErr w:type="gramEnd"/>
      <w:r>
        <w:rPr>
          <w:rFonts w:ascii="新宋体" w:eastAsia="新宋体" w:hAnsi="新宋体" w:hint="eastAsia"/>
          <w:szCs w:val="21"/>
        </w:rPr>
        <w:t>信息，结合强天气三级监测预警防线机制</w:t>
      </w:r>
      <w:proofErr w:type="gramStart"/>
      <w:r>
        <w:rPr>
          <w:rFonts w:ascii="新宋体" w:eastAsia="新宋体" w:hAnsi="新宋体" w:hint="eastAsia"/>
          <w:szCs w:val="21"/>
        </w:rPr>
        <w:t>完善强</w:t>
      </w:r>
      <w:proofErr w:type="gramEnd"/>
      <w:r>
        <w:rPr>
          <w:rFonts w:ascii="新宋体" w:eastAsia="新宋体" w:hAnsi="新宋体" w:hint="eastAsia"/>
          <w:szCs w:val="21"/>
        </w:rPr>
        <w:t>降水自动预警提示规范，采用动画图形、声音提醒等多种方式实现强降水动态的自动预警提示，实现灵活的自动预警管理功能，并不断优化和改进；自动预警提示信息自动入库，形成规范化产品接口，融入其他临近预报预警和服务业务平台。</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1.3 完善平台数据产品的安全管理</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完善账号与访问设备IP授权方式进行平台安全访问管理；优化用户代理User-Agent白名单机制、图片水印等多种方式，确保临近预报产品的规范使用。</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ab/>
        <w:t>智能临近预报算法运行及维护</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2.1</w:t>
      </w:r>
      <w:r>
        <w:rPr>
          <w:rFonts w:ascii="新宋体" w:eastAsia="新宋体" w:hAnsi="新宋体" w:hint="eastAsia"/>
          <w:szCs w:val="21"/>
        </w:rPr>
        <w:tab/>
        <w:t>基于GPU环境的多种临近预报算法的运行维护</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基于深圳本地数据运行环境、GPU计算资源和数据接口，维护基于</w:t>
      </w:r>
      <w:proofErr w:type="spellStart"/>
      <w:r>
        <w:rPr>
          <w:rFonts w:ascii="新宋体" w:eastAsia="新宋体" w:hAnsi="新宋体" w:hint="eastAsia"/>
          <w:szCs w:val="21"/>
        </w:rPr>
        <w:t>STMnet</w:t>
      </w:r>
      <w:proofErr w:type="spellEnd"/>
      <w:r>
        <w:rPr>
          <w:rFonts w:ascii="新宋体" w:eastAsia="新宋体" w:hAnsi="新宋体" w:hint="eastAsia"/>
          <w:szCs w:val="21"/>
        </w:rPr>
        <w:t>、TSGAN、</w:t>
      </w:r>
      <w:proofErr w:type="spellStart"/>
      <w:r>
        <w:rPr>
          <w:rFonts w:ascii="新宋体" w:eastAsia="新宋体" w:hAnsi="新宋体" w:hint="eastAsia"/>
          <w:szCs w:val="21"/>
        </w:rPr>
        <w:t>ConvGRU</w:t>
      </w:r>
      <w:proofErr w:type="spellEnd"/>
      <w:r>
        <w:rPr>
          <w:rFonts w:ascii="新宋体" w:eastAsia="新宋体" w:hAnsi="新宋体" w:hint="eastAsia"/>
          <w:szCs w:val="21"/>
        </w:rPr>
        <w:t>等多种深度学习的智能临近预报技术的本地化运行，系统稳定运行，按照统一数据格式逐6分钟实时生成雷达回波、定量降水等临近预测产品。</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2.2</w:t>
      </w:r>
      <w:r>
        <w:rPr>
          <w:rFonts w:ascii="新宋体" w:eastAsia="新宋体" w:hAnsi="新宋体" w:hint="eastAsia"/>
          <w:szCs w:val="21"/>
        </w:rPr>
        <w:tab/>
        <w:t>基于多</w:t>
      </w:r>
      <w:proofErr w:type="gramStart"/>
      <w:r>
        <w:rPr>
          <w:rFonts w:ascii="新宋体" w:eastAsia="新宋体" w:hAnsi="新宋体" w:hint="eastAsia"/>
          <w:szCs w:val="21"/>
        </w:rPr>
        <w:t>源数据的分钟级</w:t>
      </w:r>
      <w:proofErr w:type="gramEnd"/>
      <w:r>
        <w:rPr>
          <w:rFonts w:ascii="新宋体" w:eastAsia="新宋体" w:hAnsi="新宋体" w:hint="eastAsia"/>
          <w:szCs w:val="21"/>
        </w:rPr>
        <w:t>降雨预测QPF算法改进</w:t>
      </w:r>
    </w:p>
    <w:p w:rsidR="00E51894" w:rsidRDefault="00E51894" w:rsidP="00E51894">
      <w:pPr>
        <w:spacing w:line="360" w:lineRule="auto"/>
        <w:ind w:firstLineChars="202" w:firstLine="424"/>
        <w:rPr>
          <w:rFonts w:ascii="新宋体" w:eastAsia="新宋体" w:hAnsi="新宋体"/>
          <w:szCs w:val="21"/>
        </w:rPr>
      </w:pPr>
      <w:r>
        <w:rPr>
          <w:rFonts w:ascii="新宋体" w:eastAsia="新宋体" w:hAnsi="新宋体" w:hint="eastAsia"/>
          <w:szCs w:val="21"/>
        </w:rPr>
        <w:t>在基于多普勒雷达数据的基础上，融入高分辨率数值模式、卫星数据等，改进</w:t>
      </w:r>
      <w:proofErr w:type="gramStart"/>
      <w:r>
        <w:rPr>
          <w:rFonts w:ascii="新宋体" w:eastAsia="新宋体" w:hAnsi="新宋体" w:hint="eastAsia"/>
          <w:szCs w:val="21"/>
        </w:rPr>
        <w:t>分钟级</w:t>
      </w:r>
      <w:proofErr w:type="gramEnd"/>
      <w:r>
        <w:rPr>
          <w:rFonts w:ascii="新宋体" w:eastAsia="新宋体" w:hAnsi="新宋体" w:hint="eastAsia"/>
          <w:szCs w:val="21"/>
        </w:rPr>
        <w:t>降雨预测QPF技术，综合应用高分辨率数值模式对三维大气热力、动力结构特征的预测结果，以及多通道卫星数据的水汽、红外等信息，采用生成对抗网络、Transformer等深度学习技术通过多</w:t>
      </w:r>
      <w:proofErr w:type="gramStart"/>
      <w:r>
        <w:rPr>
          <w:rFonts w:ascii="新宋体" w:eastAsia="新宋体" w:hAnsi="新宋体" w:hint="eastAsia"/>
          <w:szCs w:val="21"/>
        </w:rPr>
        <w:t>源数据</w:t>
      </w:r>
      <w:proofErr w:type="gramEnd"/>
      <w:r>
        <w:rPr>
          <w:rFonts w:ascii="新宋体" w:eastAsia="新宋体" w:hAnsi="新宋体" w:hint="eastAsia"/>
          <w:szCs w:val="21"/>
        </w:rPr>
        <w:t>的编码器模块、多</w:t>
      </w:r>
      <w:proofErr w:type="gramStart"/>
      <w:r>
        <w:rPr>
          <w:rFonts w:ascii="新宋体" w:eastAsia="新宋体" w:hAnsi="新宋体" w:hint="eastAsia"/>
          <w:szCs w:val="21"/>
        </w:rPr>
        <w:t>源数据</w:t>
      </w:r>
      <w:proofErr w:type="gramEnd"/>
      <w:r>
        <w:rPr>
          <w:rFonts w:ascii="新宋体" w:eastAsia="新宋体" w:hAnsi="新宋体" w:hint="eastAsia"/>
          <w:szCs w:val="21"/>
        </w:rPr>
        <w:t>特征融合模块以及不均衡样本的解码模块等改进</w:t>
      </w:r>
      <w:proofErr w:type="gramStart"/>
      <w:r>
        <w:rPr>
          <w:rFonts w:ascii="新宋体" w:eastAsia="新宋体" w:hAnsi="新宋体" w:hint="eastAsia"/>
          <w:szCs w:val="21"/>
        </w:rPr>
        <w:t>分钟级</w:t>
      </w:r>
      <w:proofErr w:type="gramEnd"/>
      <w:r>
        <w:rPr>
          <w:rFonts w:ascii="新宋体" w:eastAsia="新宋体" w:hAnsi="新宋体" w:hint="eastAsia"/>
          <w:szCs w:val="21"/>
        </w:rPr>
        <w:t>降雨预测QPF算法，提升</w:t>
      </w:r>
      <w:proofErr w:type="gramStart"/>
      <w:r>
        <w:rPr>
          <w:rFonts w:ascii="新宋体" w:eastAsia="新宋体" w:hAnsi="新宋体" w:hint="eastAsia"/>
          <w:szCs w:val="21"/>
        </w:rPr>
        <w:t>分钟级</w:t>
      </w:r>
      <w:proofErr w:type="gramEnd"/>
      <w:r>
        <w:rPr>
          <w:rFonts w:ascii="新宋体" w:eastAsia="新宋体" w:hAnsi="新宋体" w:hint="eastAsia"/>
          <w:szCs w:val="21"/>
        </w:rPr>
        <w:t>降雨预报的能力。多</w:t>
      </w:r>
      <w:proofErr w:type="gramStart"/>
      <w:r>
        <w:rPr>
          <w:rFonts w:ascii="新宋体" w:eastAsia="新宋体" w:hAnsi="新宋体" w:hint="eastAsia"/>
          <w:szCs w:val="21"/>
        </w:rPr>
        <w:t>源数据</w:t>
      </w:r>
      <w:proofErr w:type="gramEnd"/>
      <w:r>
        <w:rPr>
          <w:rFonts w:ascii="新宋体" w:eastAsia="新宋体" w:hAnsi="新宋体" w:hint="eastAsia"/>
          <w:szCs w:val="21"/>
        </w:rPr>
        <w:t>的编码器模块通过建立时间注意力、空间注意力、通道注意力等机制解决多要素高分辨率数值模式数据、多通道卫星数据以及多层雷达数据的特征提取，避免不同数据时空分辨率的差异而造成的匹配问题；多</w:t>
      </w:r>
      <w:proofErr w:type="gramStart"/>
      <w:r>
        <w:rPr>
          <w:rFonts w:ascii="新宋体" w:eastAsia="新宋体" w:hAnsi="新宋体" w:hint="eastAsia"/>
          <w:szCs w:val="21"/>
        </w:rPr>
        <w:t>源数据</w:t>
      </w:r>
      <w:proofErr w:type="gramEnd"/>
      <w:r>
        <w:rPr>
          <w:rFonts w:ascii="新宋体" w:eastAsia="新宋体" w:hAnsi="新宋体" w:hint="eastAsia"/>
          <w:szCs w:val="21"/>
        </w:rPr>
        <w:t>特征融合模块通过自动考虑不同数据源对</w:t>
      </w:r>
      <w:proofErr w:type="gramStart"/>
      <w:r>
        <w:rPr>
          <w:rFonts w:ascii="新宋体" w:eastAsia="新宋体" w:hAnsi="新宋体" w:hint="eastAsia"/>
          <w:szCs w:val="21"/>
        </w:rPr>
        <w:t>分钟级</w:t>
      </w:r>
      <w:proofErr w:type="gramEnd"/>
      <w:r>
        <w:rPr>
          <w:rFonts w:ascii="新宋体" w:eastAsia="新宋体" w:hAnsi="新宋体" w:hint="eastAsia"/>
          <w:szCs w:val="21"/>
        </w:rPr>
        <w:t>降雨预报影响，以及每种数据不同特征重要性，实现多</w:t>
      </w:r>
      <w:proofErr w:type="gramStart"/>
      <w:r>
        <w:rPr>
          <w:rFonts w:ascii="新宋体" w:eastAsia="新宋体" w:hAnsi="新宋体" w:hint="eastAsia"/>
          <w:szCs w:val="21"/>
        </w:rPr>
        <w:t>源特征</w:t>
      </w:r>
      <w:proofErr w:type="gramEnd"/>
      <w:r>
        <w:rPr>
          <w:rFonts w:ascii="新宋体" w:eastAsia="新宋体" w:hAnsi="新宋体" w:hint="eastAsia"/>
          <w:szCs w:val="21"/>
        </w:rPr>
        <w:t>进行有效融合；不均衡样本的解码模块主要通过样本均衡采样机制和分位数损失函数等策略，解决强降水样本偏低的不均衡难题，提升强降水预测精准性。</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ab/>
        <w:t>临近预报客观检验的维护和优化</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短时临近预报实时检验评估，完善和改进降水临近预报客观检验方法，维护检验雷达回</w:t>
      </w:r>
      <w:r>
        <w:rPr>
          <w:rFonts w:ascii="新宋体" w:eastAsia="新宋体" w:hAnsi="新宋体" w:hint="eastAsia"/>
          <w:szCs w:val="21"/>
        </w:rPr>
        <w:lastRenderedPageBreak/>
        <w:t>波、定量降水估测、定量降水预测等多种临近预报评分算法的稳定入库，针对汛期</w:t>
      </w:r>
      <w:proofErr w:type="gramStart"/>
      <w:r>
        <w:rPr>
          <w:rFonts w:ascii="新宋体" w:eastAsia="新宋体" w:hAnsi="新宋体" w:hint="eastAsia"/>
          <w:szCs w:val="21"/>
        </w:rPr>
        <w:t>典型强</w:t>
      </w:r>
      <w:proofErr w:type="gramEnd"/>
      <w:r>
        <w:rPr>
          <w:rFonts w:ascii="新宋体" w:eastAsia="新宋体" w:hAnsi="新宋体" w:hint="eastAsia"/>
          <w:szCs w:val="21"/>
        </w:rPr>
        <w:t>天气过程，定期对深度学习方法、光流法、交叉相关方法等进行定量和定性评估。</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3.1 降水临近预报实时检验算法维护和运行</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维护降水临近预报客观检验的稳定运行，包括雷达回波、定量降水估测（QPE）、定量降水预测（QPF）等临近预报产品多种客观方法的稳定运行、检验结果实时入数据库。保障不同临近预报算法的CSI、POD、FAR等至少三种客观评分的结果入库和图形产品显示。</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3.2 汛期</w:t>
      </w:r>
      <w:proofErr w:type="gramStart"/>
      <w:r>
        <w:rPr>
          <w:rFonts w:ascii="新宋体" w:eastAsia="新宋体" w:hAnsi="新宋体" w:hint="eastAsia"/>
          <w:szCs w:val="21"/>
        </w:rPr>
        <w:t>典型强天气</w:t>
      </w:r>
      <w:proofErr w:type="gramEnd"/>
      <w:r>
        <w:rPr>
          <w:rFonts w:ascii="新宋体" w:eastAsia="新宋体" w:hAnsi="新宋体" w:hint="eastAsia"/>
          <w:szCs w:val="21"/>
        </w:rPr>
        <w:t>分型检验</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针对汛期典型灾害性强天气的影响，开展台风、飑线等不同强天气过程的临近预报检验报告，对比分析不同临近预报算法的预报效果，提供至少6份以上的定量检验分析报告及文档（Word或者PPT格式），供预报人员应有参考。</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3.3 临近预测集成产品的动态检验</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根据临近预报业务需求和国省临近预报技术的集成应用，实现</w:t>
      </w:r>
      <w:proofErr w:type="gramStart"/>
      <w:r>
        <w:rPr>
          <w:rFonts w:ascii="新宋体" w:eastAsia="新宋体" w:hAnsi="新宋体" w:hint="eastAsia"/>
          <w:szCs w:val="21"/>
        </w:rPr>
        <w:t>分钟级</w:t>
      </w:r>
      <w:proofErr w:type="gramEnd"/>
      <w:r>
        <w:rPr>
          <w:rFonts w:ascii="新宋体" w:eastAsia="新宋体" w:hAnsi="新宋体" w:hint="eastAsia"/>
          <w:szCs w:val="21"/>
        </w:rPr>
        <w:t>降水临近预报集成产品以及深圳本地研发的定量降水估测、定量降水预测等至少2种以上的临近预测产品的动态检验，完善数据库，检验结果实时数据入库。</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 xml:space="preserve">3.4专家检验评估功能 </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为更好发挥不同智能临近算法的业务价值，开发专家检验评估模块，综合考虑降水强度位置预测准确率、降水临近预报的可用性等多个关键指标，针对</w:t>
      </w:r>
      <w:proofErr w:type="gramStart"/>
      <w:r>
        <w:rPr>
          <w:rFonts w:ascii="新宋体" w:eastAsia="新宋体" w:hAnsi="新宋体" w:hint="eastAsia"/>
          <w:szCs w:val="21"/>
        </w:rPr>
        <w:t>典型强</w:t>
      </w:r>
      <w:proofErr w:type="gramEnd"/>
      <w:r>
        <w:rPr>
          <w:rFonts w:ascii="新宋体" w:eastAsia="新宋体" w:hAnsi="新宋体" w:hint="eastAsia"/>
          <w:szCs w:val="21"/>
        </w:rPr>
        <w:t>降水过程不同智能临近结果进行检验评估和排序，自动统计排序结果推荐最优临近预报算法，为强降水精细化预报预警提供支撑。</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ab/>
        <w:t>深港智能临近预报共享产品的维护</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4.1 深港临近预测共享数据生成的维护</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为落实粤港澳气象业务合作会议的要求，继续加强深圳和香港天文台临近预报产品的交换和应用，我局实现与香港天文台实时交换临近预报数据，并开发了集合降水临近预报图形产品等，需对基于深度学习的临近预测数据稳定生成进行维护和保障，按照深</w:t>
      </w:r>
      <w:proofErr w:type="gramStart"/>
      <w:r>
        <w:rPr>
          <w:rFonts w:ascii="新宋体" w:eastAsia="新宋体" w:hAnsi="新宋体" w:hint="eastAsia"/>
          <w:szCs w:val="21"/>
        </w:rPr>
        <w:t>港统一</w:t>
      </w:r>
      <w:proofErr w:type="gramEnd"/>
      <w:r>
        <w:rPr>
          <w:rFonts w:ascii="新宋体" w:eastAsia="新宋体" w:hAnsi="新宋体" w:hint="eastAsia"/>
          <w:szCs w:val="21"/>
        </w:rPr>
        <w:t>规则、统一数据格式、统一区域范围等要求，稳定生成基于深度学习的临近预报数据，保障数据的稳定交换和共享。</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4.2集合临近预测产品显示的运行和维护</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基于我局临近预报业务平台，集成显示港方集合临近预报产品的显示和应用，维护和保障36个成员的集合临近预报的邮票图等产品显示，优化和改进概率匹配等集合产品，完善</w:t>
      </w:r>
      <w:proofErr w:type="gramStart"/>
      <w:r>
        <w:rPr>
          <w:rFonts w:ascii="新宋体" w:eastAsia="新宋体" w:hAnsi="新宋体" w:hint="eastAsia"/>
          <w:szCs w:val="21"/>
        </w:rPr>
        <w:t>典型强</w:t>
      </w:r>
      <w:proofErr w:type="gramEnd"/>
      <w:r>
        <w:rPr>
          <w:rFonts w:ascii="新宋体" w:eastAsia="新宋体" w:hAnsi="新宋体" w:hint="eastAsia"/>
          <w:szCs w:val="21"/>
        </w:rPr>
        <w:t>降水过程产品，更方便预报员在业务中应用。</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lastRenderedPageBreak/>
        <w:t>5.</w:t>
      </w:r>
      <w:r>
        <w:rPr>
          <w:rFonts w:ascii="新宋体" w:eastAsia="新宋体" w:hAnsi="新宋体" w:hint="eastAsia"/>
          <w:szCs w:val="21"/>
        </w:rPr>
        <w:tab/>
        <w:t>高分辨率数值模式基础数据集</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高分辨率数值模式预报产品的订正和解释应用是在数值模式基础上结合观测资料，构建统计-动力预报方法以体现模式无法分辨的局地天气特征，并获得更加精准的气象要素。采用模式输出统计MOS等传统的客观方法主要是面向单点活小区域建模，处理海量数据及精细化网格的能力有限，并且难以体现空间信息对预报变量偏差订正的影响。基于深度学习的高分辨率数值模式订正和</w:t>
      </w:r>
      <w:proofErr w:type="gramStart"/>
      <w:r>
        <w:rPr>
          <w:rFonts w:ascii="新宋体" w:eastAsia="新宋体" w:hAnsi="新宋体" w:hint="eastAsia"/>
          <w:szCs w:val="21"/>
        </w:rPr>
        <w:t>释用</w:t>
      </w:r>
      <w:proofErr w:type="gramEnd"/>
      <w:r>
        <w:rPr>
          <w:rFonts w:ascii="新宋体" w:eastAsia="新宋体" w:hAnsi="新宋体" w:hint="eastAsia"/>
          <w:szCs w:val="21"/>
        </w:rPr>
        <w:t>技术，在挖掘大数据非线性关系和空间建模能力上展现出显著优势，是进一步开展具有局地特征精细化网格预报的有效途径。高质量的数据集是开展基于深度学习订正和</w:t>
      </w:r>
      <w:proofErr w:type="gramStart"/>
      <w:r>
        <w:rPr>
          <w:rFonts w:ascii="新宋体" w:eastAsia="新宋体" w:hAnsi="新宋体" w:hint="eastAsia"/>
          <w:szCs w:val="21"/>
        </w:rPr>
        <w:t>释用</w:t>
      </w:r>
      <w:proofErr w:type="gramEnd"/>
      <w:r>
        <w:rPr>
          <w:rFonts w:ascii="新宋体" w:eastAsia="新宋体" w:hAnsi="新宋体" w:hint="eastAsia"/>
          <w:szCs w:val="21"/>
        </w:rPr>
        <w:t>技术的基础，因此，本项目拟以雷暴尺度集合预报、欧洲中期数值预报等历史数据，完善至少覆盖广东区域的多要素、多层次、多成员的数值模式预报数据集。</w:t>
      </w:r>
    </w:p>
    <w:p w:rsidR="00E51894" w:rsidRDefault="00E51894" w:rsidP="00E51894">
      <w:pPr>
        <w:spacing w:line="360" w:lineRule="auto"/>
        <w:ind w:firstLineChars="202" w:firstLine="424"/>
        <w:rPr>
          <w:rFonts w:ascii="新宋体" w:eastAsia="新宋体" w:hAnsi="新宋体"/>
          <w:szCs w:val="21"/>
        </w:rPr>
      </w:pPr>
      <w:r>
        <w:rPr>
          <w:rFonts w:ascii="新宋体" w:eastAsia="新宋体" w:hAnsi="新宋体" w:hint="eastAsia"/>
          <w:szCs w:val="21"/>
        </w:rPr>
        <w:t>（1）数据质量控制和预处理。由于系统运行时稳定性调试、实时观测资料接收缺失、服务器存储空间不足等原因导致存储数据有所缺失，为满足建模需要，需要不断对数据进行质量控制和清洗，若一条样本的预报或观测数据缺失或者无效，则同时剔除该样本对应的观测或者预报数据，即观测和预报同时有效才记作一组有效样本。</w:t>
      </w:r>
    </w:p>
    <w:p w:rsidR="00E51894" w:rsidRDefault="00E51894" w:rsidP="00E51894">
      <w:pPr>
        <w:spacing w:line="360" w:lineRule="auto"/>
        <w:ind w:firstLineChars="202" w:firstLine="424"/>
        <w:rPr>
          <w:rFonts w:ascii="新宋体" w:eastAsia="新宋体" w:hAnsi="新宋体"/>
          <w:szCs w:val="21"/>
        </w:rPr>
      </w:pPr>
      <w:r>
        <w:rPr>
          <w:rFonts w:ascii="新宋体" w:eastAsia="新宋体" w:hAnsi="新宋体" w:hint="eastAsia"/>
          <w:szCs w:val="21"/>
        </w:rPr>
        <w:t>（2）数据样本增强：深度学习模型需要保证有充足的训练数据量，在保证数据量增加的同时增加数据多样性以提高模型鲁棒性，对应高分辨率数值模式数据，考虑到数据拼接的连续性，采用随机分割、随机翻转等方式进行增加样本量并减轻训练过程中硬件资源损耗，如对华南区域范围内，对预测数据样本进行随机分割，每张图分割10次后整个训练集数据增大10倍。</w:t>
      </w:r>
    </w:p>
    <w:p w:rsidR="00E51894" w:rsidRDefault="00E51894" w:rsidP="00E51894">
      <w:pPr>
        <w:spacing w:line="360" w:lineRule="auto"/>
        <w:ind w:firstLineChars="202" w:firstLine="424"/>
        <w:rPr>
          <w:rFonts w:ascii="新宋体" w:eastAsia="新宋体" w:hAnsi="新宋体"/>
          <w:szCs w:val="21"/>
        </w:rPr>
      </w:pPr>
      <w:r>
        <w:rPr>
          <w:rFonts w:ascii="新宋体" w:eastAsia="新宋体" w:hAnsi="新宋体" w:hint="eastAsia"/>
          <w:szCs w:val="21"/>
        </w:rPr>
        <w:t>（3）高分辨率数值模式数据集。在数据质量控制的基础上，应用近五年的历史数据，建立并不断完善至少覆盖广东区域的包含地面、925hPa、850hPa、700hPa、500hPa、200hPa等不同高度的风速、温度、降雨、相对湿度、位势高度等气象要素的数值模式预报数据，以及地形高度、自动气象站实况数据或者国家局下发的指导产品等样本标签数据，并采用统一插值方法进行网格化处理。</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ab/>
        <w:t>基于高分辨率数值模式智能订正及产品</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应用高分辨率数值模式数据集，发展并不断优化基于深度学习的气温、降雨等数值模式</w:t>
      </w:r>
      <w:proofErr w:type="gramStart"/>
      <w:r>
        <w:rPr>
          <w:rFonts w:ascii="新宋体" w:eastAsia="新宋体" w:hAnsi="新宋体" w:hint="eastAsia"/>
          <w:szCs w:val="21"/>
        </w:rPr>
        <w:t>订正释用技术</w:t>
      </w:r>
      <w:proofErr w:type="gramEnd"/>
      <w:r>
        <w:rPr>
          <w:rFonts w:ascii="新宋体" w:eastAsia="新宋体" w:hAnsi="新宋体" w:hint="eastAsia"/>
          <w:szCs w:val="21"/>
        </w:rPr>
        <w:t>，为智能网格预报业务提供更加准确的数据支撑。由于不同气象要素之间存在着很强的关联性，单个气象要素的预报误差及变化特征会受其余多个气象要素以及地形因素的联合影响，因此融合多要素基于算子学习循环网络的模式预报偏差订正技术，实现气温、降雨等气象要素的联合订正。为了更好地学习有效的特征信息，订正技术模型需要充分利用空间和时间信息，保留订正结果的空间分布更多细节，增强记忆单元非平稳建模能力以及时</w:t>
      </w:r>
      <w:r>
        <w:rPr>
          <w:rFonts w:ascii="新宋体" w:eastAsia="新宋体" w:hAnsi="新宋体" w:hint="eastAsia"/>
          <w:szCs w:val="21"/>
        </w:rPr>
        <w:lastRenderedPageBreak/>
        <w:t>空动力学的不确定性推理能力，采用三维卷积多源时空特征提取技术，建立基于注意力机制的多源时空特征融合机制，提高订正技术模型对不同维度时空信息的提取能力，提供更高精度的气温、降水等预报产品。</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hint="eastAsia"/>
          <w:szCs w:val="21"/>
        </w:rPr>
        <w:tab/>
        <w:t>信息安全漏洞修补、重大天气过程保障等服务</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为确保平台的</w:t>
      </w:r>
      <w:proofErr w:type="gramStart"/>
      <w:r>
        <w:rPr>
          <w:rFonts w:ascii="新宋体" w:eastAsia="新宋体" w:hAnsi="新宋体" w:hint="eastAsia"/>
          <w:szCs w:val="21"/>
        </w:rPr>
        <w:t>日常稳定</w:t>
      </w:r>
      <w:proofErr w:type="gramEnd"/>
      <w:r>
        <w:rPr>
          <w:rFonts w:ascii="新宋体" w:eastAsia="新宋体" w:hAnsi="新宋体" w:hint="eastAsia"/>
          <w:szCs w:val="21"/>
        </w:rPr>
        <w:t xml:space="preserve">运行，尤其是在重大天气过程期间的稳定运行，需针对平台提供日常维护服务、应急响应维护服务、重大天气保障服务和信息安全漏洞修补服务， </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7.1系统的日常维护服务</w:t>
      </w:r>
    </w:p>
    <w:p w:rsidR="00E51894" w:rsidRDefault="00E51894" w:rsidP="00E51894">
      <w:pPr>
        <w:spacing w:line="360" w:lineRule="auto"/>
        <w:ind w:firstLineChars="202" w:firstLine="424"/>
        <w:rPr>
          <w:rFonts w:ascii="新宋体" w:eastAsia="新宋体" w:hAnsi="新宋体"/>
          <w:szCs w:val="21"/>
        </w:rPr>
      </w:pPr>
      <w:r>
        <w:rPr>
          <w:rFonts w:ascii="新宋体" w:eastAsia="新宋体" w:hAnsi="新宋体" w:hint="eastAsia"/>
          <w:szCs w:val="21"/>
        </w:rPr>
        <w:t>（1）为保证系统的</w:t>
      </w:r>
      <w:proofErr w:type="gramStart"/>
      <w:r>
        <w:rPr>
          <w:rFonts w:ascii="新宋体" w:eastAsia="新宋体" w:hAnsi="新宋体" w:hint="eastAsia"/>
          <w:szCs w:val="21"/>
        </w:rPr>
        <w:t>日常稳定</w:t>
      </w:r>
      <w:proofErr w:type="gramEnd"/>
      <w:r>
        <w:rPr>
          <w:rFonts w:ascii="新宋体" w:eastAsia="新宋体" w:hAnsi="新宋体" w:hint="eastAsia"/>
          <w:szCs w:val="21"/>
        </w:rPr>
        <w:t>运行，需建立完善的项目维护组，明确项目组成员、明确维护内容以及项目组人员的职责范围，建立完善的项目维护流程。</w:t>
      </w:r>
    </w:p>
    <w:p w:rsidR="00E51894" w:rsidRDefault="00E51894" w:rsidP="00E51894">
      <w:pPr>
        <w:spacing w:line="360" w:lineRule="auto"/>
        <w:ind w:firstLineChars="202" w:firstLine="424"/>
        <w:rPr>
          <w:rFonts w:ascii="新宋体" w:eastAsia="新宋体" w:hAnsi="新宋体"/>
          <w:szCs w:val="21"/>
        </w:rPr>
      </w:pPr>
      <w:r>
        <w:rPr>
          <w:rFonts w:ascii="新宋体" w:eastAsia="新宋体" w:hAnsi="新宋体" w:hint="eastAsia"/>
          <w:szCs w:val="21"/>
        </w:rPr>
        <w:t>（2）依据维护流程提供日常维护服务以保障项目系统的</w:t>
      </w:r>
      <w:proofErr w:type="gramStart"/>
      <w:r>
        <w:rPr>
          <w:rFonts w:ascii="新宋体" w:eastAsia="新宋体" w:hAnsi="新宋体" w:hint="eastAsia"/>
          <w:szCs w:val="21"/>
        </w:rPr>
        <w:t>日常稳定</w:t>
      </w:r>
      <w:proofErr w:type="gramEnd"/>
      <w:r>
        <w:rPr>
          <w:rFonts w:ascii="新宋体" w:eastAsia="新宋体" w:hAnsi="新宋体" w:hint="eastAsia"/>
          <w:szCs w:val="21"/>
        </w:rPr>
        <w:t>运行，在网络环境和数据库环境发生变化时，应修改项目系统程序配置以适应新的运行环境。</w:t>
      </w:r>
    </w:p>
    <w:p w:rsidR="00E51894" w:rsidRDefault="00E51894" w:rsidP="00E51894">
      <w:pPr>
        <w:spacing w:line="360" w:lineRule="auto"/>
        <w:ind w:firstLineChars="202" w:firstLine="424"/>
        <w:rPr>
          <w:rFonts w:ascii="新宋体" w:eastAsia="新宋体" w:hAnsi="新宋体"/>
          <w:szCs w:val="21"/>
        </w:rPr>
      </w:pPr>
      <w:r>
        <w:rPr>
          <w:rFonts w:ascii="新宋体" w:eastAsia="新宋体" w:hAnsi="新宋体" w:hint="eastAsia"/>
          <w:szCs w:val="21"/>
        </w:rPr>
        <w:t>（3）提供对系统定期的技术巡检服务并建立完整的技术维护档案，将每次技术维护的类型、日期、维护内容、维护措施、维护人员、故障原因、处理结果等要素详细记录并归纳入库并形成完整的维护档案库。</w:t>
      </w:r>
    </w:p>
    <w:p w:rsidR="00E51894" w:rsidRDefault="00E51894" w:rsidP="00E51894">
      <w:pPr>
        <w:spacing w:line="360" w:lineRule="auto"/>
        <w:ind w:firstLineChars="202" w:firstLine="424"/>
        <w:rPr>
          <w:rFonts w:ascii="新宋体" w:eastAsia="新宋体" w:hAnsi="新宋体"/>
          <w:szCs w:val="21"/>
        </w:rPr>
      </w:pPr>
      <w:r>
        <w:rPr>
          <w:rFonts w:ascii="新宋体" w:eastAsia="新宋体" w:hAnsi="新宋体" w:hint="eastAsia"/>
          <w:szCs w:val="21"/>
        </w:rPr>
        <w:t>（4）需通过日常维护及巡检等服务，查找不利于系统正常运行的因素或诱发系统故障的因素，如是系统缺陷引起的，应针对缺陷进行系统软件升级并向用户发出升级预告。如是业务应用或管理上引起的，则对用户提出有针对性管理建议或意见。</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7.2 系统的应急保障服务</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需提供电话咨询指导、远程在线支持、现场技术服务等应急响应技术服务；建立应急维护分级规则，应急响应技术维护服务的响应速度和故障处理时效按照应急维护分级规则的要求进行。</w:t>
      </w:r>
    </w:p>
    <w:p w:rsidR="00E51894" w:rsidRDefault="00E51894" w:rsidP="00E51894">
      <w:pPr>
        <w:spacing w:line="360" w:lineRule="auto"/>
        <w:ind w:firstLineChars="202" w:firstLine="424"/>
        <w:rPr>
          <w:rFonts w:ascii="新宋体" w:eastAsia="新宋体" w:hAnsi="新宋体"/>
          <w:szCs w:val="21"/>
        </w:rPr>
      </w:pPr>
      <w:r>
        <w:rPr>
          <w:rFonts w:ascii="新宋体" w:eastAsia="新宋体" w:hAnsi="新宋体" w:hint="eastAsia"/>
          <w:szCs w:val="21"/>
        </w:rPr>
        <w:t>（1）提供电话指导、远程在线支持服务，在接到系统的故障申告、咨询或技术服务请求后，安排技术工程师提供每周7*24小时的电话、远程在线支持服务。</w:t>
      </w:r>
    </w:p>
    <w:p w:rsidR="00E51894" w:rsidRDefault="00E51894" w:rsidP="00E51894">
      <w:pPr>
        <w:spacing w:line="360" w:lineRule="auto"/>
        <w:ind w:firstLineChars="202" w:firstLine="424"/>
        <w:rPr>
          <w:rFonts w:ascii="新宋体" w:eastAsia="新宋体" w:hAnsi="新宋体"/>
          <w:szCs w:val="21"/>
        </w:rPr>
      </w:pPr>
      <w:r>
        <w:rPr>
          <w:rFonts w:ascii="新宋体" w:eastAsia="新宋体" w:hAnsi="新宋体" w:hint="eastAsia"/>
          <w:szCs w:val="21"/>
        </w:rPr>
        <w:t>（2）提供现场支持服务，针对系统的故障申告电话及</w:t>
      </w:r>
      <w:proofErr w:type="gramStart"/>
      <w:r>
        <w:rPr>
          <w:rFonts w:ascii="新宋体" w:eastAsia="新宋体" w:hAnsi="新宋体" w:hint="eastAsia"/>
          <w:szCs w:val="21"/>
        </w:rPr>
        <w:t>远程支持</w:t>
      </w:r>
      <w:proofErr w:type="gramEnd"/>
      <w:r>
        <w:rPr>
          <w:rFonts w:ascii="新宋体" w:eastAsia="新宋体" w:hAnsi="新宋体" w:hint="eastAsia"/>
          <w:szCs w:val="21"/>
        </w:rPr>
        <w:t>服务无效的状况下，提供现场技术服务，现场技术服务响应的时效性应符合应急维护分级规则的要求。</w:t>
      </w:r>
    </w:p>
    <w:p w:rsidR="00E51894" w:rsidRDefault="00E51894" w:rsidP="00E51894">
      <w:pPr>
        <w:spacing w:line="360" w:lineRule="auto"/>
        <w:ind w:firstLineChars="202" w:firstLine="424"/>
        <w:rPr>
          <w:rFonts w:ascii="新宋体" w:eastAsia="新宋体" w:hAnsi="新宋体"/>
          <w:szCs w:val="21"/>
        </w:rPr>
      </w:pPr>
      <w:r>
        <w:rPr>
          <w:rFonts w:ascii="新宋体" w:eastAsia="新宋体" w:hAnsi="新宋体" w:hint="eastAsia"/>
          <w:szCs w:val="21"/>
        </w:rPr>
        <w:t>（3）建立应急维护故障分级服务响应体系进行应急响应服务分级，根据系统运行的影响程度按紧迫性划分为3个等级，各个等级的应急响应维护服务要求如下：</w:t>
      </w:r>
    </w:p>
    <w:p w:rsidR="00E51894" w:rsidRDefault="00E51894" w:rsidP="00E51894">
      <w:pPr>
        <w:spacing w:line="360" w:lineRule="auto"/>
        <w:ind w:firstLineChars="202" w:firstLine="424"/>
        <w:rPr>
          <w:rFonts w:ascii="新宋体" w:eastAsia="新宋体" w:hAnsi="新宋体"/>
          <w:szCs w:val="21"/>
        </w:rPr>
      </w:pPr>
      <w:r>
        <w:rPr>
          <w:rFonts w:ascii="新宋体" w:eastAsia="新宋体" w:hAnsi="新宋体" w:hint="eastAsia"/>
          <w:szCs w:val="21"/>
        </w:rPr>
        <w:t>紧急故障服务请求：主要指系统在运行中出现系统瘫痪或服务中断，导致系统的基本功能不能实现或全面退化的故障服务请求。针对紧急故障服务请求后，技术服务商须在20分钟内通过电话或</w:t>
      </w:r>
      <w:proofErr w:type="gramStart"/>
      <w:r>
        <w:rPr>
          <w:rFonts w:ascii="新宋体" w:eastAsia="新宋体" w:hAnsi="新宋体" w:hint="eastAsia"/>
          <w:szCs w:val="21"/>
        </w:rPr>
        <w:t>远程支持</w:t>
      </w:r>
      <w:proofErr w:type="gramEnd"/>
      <w:r>
        <w:rPr>
          <w:rFonts w:ascii="新宋体" w:eastAsia="新宋体" w:hAnsi="新宋体" w:hint="eastAsia"/>
          <w:szCs w:val="21"/>
        </w:rPr>
        <w:t>方式进行技术支持。在电话及</w:t>
      </w:r>
      <w:proofErr w:type="gramStart"/>
      <w:r>
        <w:rPr>
          <w:rFonts w:ascii="新宋体" w:eastAsia="新宋体" w:hAnsi="新宋体" w:hint="eastAsia"/>
          <w:szCs w:val="21"/>
        </w:rPr>
        <w:t>远程支持</w:t>
      </w:r>
      <w:proofErr w:type="gramEnd"/>
      <w:r>
        <w:rPr>
          <w:rFonts w:ascii="新宋体" w:eastAsia="新宋体" w:hAnsi="新宋体" w:hint="eastAsia"/>
          <w:szCs w:val="21"/>
        </w:rPr>
        <w:t>服务无效的情况下，技术服</w:t>
      </w:r>
      <w:r>
        <w:rPr>
          <w:rFonts w:ascii="新宋体" w:eastAsia="新宋体" w:hAnsi="新宋体" w:hint="eastAsia"/>
          <w:szCs w:val="21"/>
        </w:rPr>
        <w:lastRenderedPageBreak/>
        <w:t>务商技术人员须在2小时内到达现场，与系统用户协商，立即解决问题。对于由于软件或硬件缺陷引起的紧急故障，技术服务商须提供临时解决方案，并在2天以内最终解决；对紧急故障技术服务商须提供每周7天、每天24小时的现场服务。</w:t>
      </w:r>
    </w:p>
    <w:p w:rsidR="00E51894" w:rsidRDefault="00E51894" w:rsidP="00E51894">
      <w:pPr>
        <w:spacing w:line="360" w:lineRule="auto"/>
        <w:ind w:firstLineChars="202" w:firstLine="424"/>
        <w:rPr>
          <w:rFonts w:ascii="新宋体" w:eastAsia="新宋体" w:hAnsi="新宋体"/>
          <w:szCs w:val="21"/>
        </w:rPr>
      </w:pPr>
      <w:r>
        <w:rPr>
          <w:rFonts w:ascii="新宋体" w:eastAsia="新宋体" w:hAnsi="新宋体" w:hint="eastAsia"/>
          <w:szCs w:val="21"/>
        </w:rPr>
        <w:t>重大故障服务请求：主要指系统在运行中出现的故障具有潜在的系统瘫痪或服务中断的危险，并可能系统的基本功能不能实现或全面退化；在运行中出现的直接影响服务，导致系统性能或服务部分退化的故障的服务请求。针对重大故障服务请求后，技术服务商须在45分钟内通过电话或</w:t>
      </w:r>
      <w:proofErr w:type="gramStart"/>
      <w:r>
        <w:rPr>
          <w:rFonts w:ascii="新宋体" w:eastAsia="新宋体" w:hAnsi="新宋体" w:hint="eastAsia"/>
          <w:szCs w:val="21"/>
        </w:rPr>
        <w:t>远程支持</w:t>
      </w:r>
      <w:proofErr w:type="gramEnd"/>
      <w:r>
        <w:rPr>
          <w:rFonts w:ascii="新宋体" w:eastAsia="新宋体" w:hAnsi="新宋体" w:hint="eastAsia"/>
          <w:szCs w:val="21"/>
        </w:rPr>
        <w:t>方式进行技术支持。在电话及</w:t>
      </w:r>
      <w:proofErr w:type="gramStart"/>
      <w:r>
        <w:rPr>
          <w:rFonts w:ascii="新宋体" w:eastAsia="新宋体" w:hAnsi="新宋体" w:hint="eastAsia"/>
          <w:szCs w:val="21"/>
        </w:rPr>
        <w:t>远程支持</w:t>
      </w:r>
      <w:proofErr w:type="gramEnd"/>
      <w:r>
        <w:rPr>
          <w:rFonts w:ascii="新宋体" w:eastAsia="新宋体" w:hAnsi="新宋体" w:hint="eastAsia"/>
          <w:szCs w:val="21"/>
        </w:rPr>
        <w:t>服务无效的情况下，技术服务商技术人员须在3小时内到达现场，与系统用户协商，立即解决问题。对于由于软件或硬件缺陷引起的重大故障，技术服务商须提供临时解决方案，并在3天以内最终解决。</w:t>
      </w:r>
    </w:p>
    <w:p w:rsidR="00E51894" w:rsidRDefault="00E51894" w:rsidP="00E51894">
      <w:pPr>
        <w:spacing w:line="360" w:lineRule="auto"/>
        <w:ind w:firstLineChars="202" w:firstLine="424"/>
        <w:rPr>
          <w:rFonts w:ascii="新宋体" w:eastAsia="新宋体" w:hAnsi="新宋体"/>
          <w:szCs w:val="21"/>
        </w:rPr>
      </w:pPr>
      <w:r>
        <w:rPr>
          <w:rFonts w:ascii="新宋体" w:eastAsia="新宋体" w:hAnsi="新宋体" w:hint="eastAsia"/>
          <w:szCs w:val="21"/>
        </w:rPr>
        <w:t>一般故障服务请求：主要指系统在运行中出现的断续或间接地影响系统功能和服务的故障服务请求。针对一般故障服务请求后，技术服务商须在2个小时内通过电话或</w:t>
      </w:r>
      <w:proofErr w:type="gramStart"/>
      <w:r>
        <w:rPr>
          <w:rFonts w:ascii="新宋体" w:eastAsia="新宋体" w:hAnsi="新宋体" w:hint="eastAsia"/>
          <w:szCs w:val="21"/>
        </w:rPr>
        <w:t>远程支持</w:t>
      </w:r>
      <w:proofErr w:type="gramEnd"/>
      <w:r>
        <w:rPr>
          <w:rFonts w:ascii="新宋体" w:eastAsia="新宋体" w:hAnsi="新宋体" w:hint="eastAsia"/>
          <w:szCs w:val="21"/>
        </w:rPr>
        <w:t>方式进行技术支持。在电话及</w:t>
      </w:r>
      <w:proofErr w:type="gramStart"/>
      <w:r>
        <w:rPr>
          <w:rFonts w:ascii="新宋体" w:eastAsia="新宋体" w:hAnsi="新宋体" w:hint="eastAsia"/>
          <w:szCs w:val="21"/>
        </w:rPr>
        <w:t>远程支持</w:t>
      </w:r>
      <w:proofErr w:type="gramEnd"/>
      <w:r>
        <w:rPr>
          <w:rFonts w:ascii="新宋体" w:eastAsia="新宋体" w:hAnsi="新宋体" w:hint="eastAsia"/>
          <w:szCs w:val="21"/>
        </w:rPr>
        <w:t>服务无效的情况下，技术服务商技术人员须在4小时内到达现场，与系统用户协商，立即解决问题。对于由于软件或硬件缺陷引起的一般故障，技术服务商须提供临时解决方案，并在5天以内最终解决。</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7.3 重大天气保障服务</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针对台风、暴雨等重大灾害天气，提供重大天气保障服务，需要维护人员24小时待命，保障系统的稳定性和安全性，更好地为用户提供及时可靠的气象应急服务。依据应急响应规则，技术服务商须提供现场保障服务，随时解决系统出现的故障和问题，完成恶劣天气服务保障。</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7.4 信息安全维护服务</w:t>
      </w:r>
    </w:p>
    <w:p w:rsidR="00E51894" w:rsidRDefault="00E51894" w:rsidP="00E51894">
      <w:pPr>
        <w:spacing w:line="360" w:lineRule="auto"/>
        <w:ind w:firstLineChars="200" w:firstLine="420"/>
        <w:rPr>
          <w:rFonts w:ascii="新宋体" w:eastAsia="新宋体" w:hAnsi="新宋体"/>
          <w:szCs w:val="21"/>
        </w:rPr>
      </w:pPr>
      <w:r>
        <w:rPr>
          <w:rFonts w:ascii="新宋体" w:eastAsia="新宋体" w:hAnsi="新宋体" w:hint="eastAsia"/>
          <w:szCs w:val="21"/>
        </w:rPr>
        <w:t>根据深圳市政府信息安全相关办法要求及局内相关规定，加强系统的信息安全检查，并配合进行网络信息安全检查及整改工作，定期进行漏洞的弥补，包括系统前后台所用到的服务器和网站应用的漏洞。此外，还需及时处置用户反馈、解决系统运行中出现的问题。</w:t>
      </w:r>
    </w:p>
    <w:p w:rsidR="00E51894" w:rsidRDefault="00E51894" w:rsidP="00E51894">
      <w:pPr>
        <w:spacing w:line="360" w:lineRule="auto"/>
        <w:rPr>
          <w:rFonts w:ascii="新宋体" w:eastAsia="新宋体" w:hAnsi="新宋体"/>
          <w:b/>
          <w:szCs w:val="21"/>
        </w:rPr>
      </w:pPr>
      <w:r>
        <w:rPr>
          <w:rFonts w:ascii="新宋体" w:eastAsia="新宋体" w:hAnsi="新宋体" w:hint="eastAsia"/>
          <w:b/>
          <w:szCs w:val="21"/>
        </w:rPr>
        <w:t>（二）项目验收技术指标</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1. 保障汛期0-2小时内容逐6分钟的雷达回波、定量降水估测QPE、定量降水预测QPF等产品稳定输出和展示。</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2.保障至少三种客观评分指标实时检验和评估数据入库；</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3.维护至少四种降水临近预报算法和产品的稳定运行和显示。</w:t>
      </w:r>
    </w:p>
    <w:p w:rsidR="00E51894" w:rsidRDefault="00E51894" w:rsidP="00E51894">
      <w:pPr>
        <w:spacing w:line="360" w:lineRule="auto"/>
        <w:rPr>
          <w:rFonts w:ascii="新宋体" w:eastAsia="新宋体" w:hAnsi="新宋体"/>
          <w:szCs w:val="21"/>
        </w:rPr>
      </w:pPr>
      <w:r>
        <w:rPr>
          <w:rFonts w:ascii="新宋体" w:eastAsia="新宋体" w:hAnsi="新宋体" w:hint="eastAsia"/>
          <w:szCs w:val="21"/>
        </w:rPr>
        <w:t>4.保障深港智能临近预报产品交换的稳定运行。</w:t>
      </w:r>
    </w:p>
    <w:p w:rsidR="00E51894" w:rsidRDefault="00E51894" w:rsidP="00E51894">
      <w:pPr>
        <w:rPr>
          <w:rFonts w:ascii="新宋体" w:eastAsia="新宋体" w:hAnsi="新宋体"/>
          <w:b/>
        </w:rPr>
      </w:pPr>
      <w:r>
        <w:rPr>
          <w:rFonts w:ascii="新宋体" w:eastAsia="新宋体" w:hAnsi="新宋体" w:hint="eastAsia"/>
          <w:szCs w:val="21"/>
        </w:rPr>
        <w:t>5.提供并完善至少三年以上基于雷暴尺度集合预报等高分辨率数值模式的历史数据集。</w:t>
      </w:r>
    </w:p>
    <w:p w:rsidR="00E51894" w:rsidRDefault="00E51894" w:rsidP="00E51894">
      <w:pPr>
        <w:rPr>
          <w:rFonts w:ascii="新宋体" w:eastAsia="新宋体" w:hAnsi="新宋体"/>
          <w:b/>
        </w:rPr>
      </w:pPr>
    </w:p>
    <w:p w:rsidR="00E51894" w:rsidRDefault="00E51894" w:rsidP="00E51894">
      <w:pPr>
        <w:pStyle w:val="3"/>
        <w:rPr>
          <w:rFonts w:ascii="新宋体" w:eastAsia="新宋体" w:hAnsi="新宋体"/>
          <w:kern w:val="44"/>
          <w:szCs w:val="28"/>
        </w:rPr>
      </w:pPr>
      <w:r>
        <w:rPr>
          <w:rFonts w:ascii="新宋体" w:eastAsia="新宋体" w:hAnsi="新宋体" w:hint="eastAsia"/>
          <w:kern w:val="44"/>
          <w:szCs w:val="28"/>
        </w:rPr>
        <w:t>五、项目商务要求</w:t>
      </w:r>
    </w:p>
    <w:p w:rsidR="00E51894" w:rsidRPr="00776B4C" w:rsidRDefault="00E51894" w:rsidP="00E51894">
      <w:pPr>
        <w:spacing w:line="360" w:lineRule="auto"/>
        <w:rPr>
          <w:rFonts w:ascii="新宋体" w:eastAsia="新宋体" w:hAnsi="新宋体" w:cs="宋体"/>
          <w:szCs w:val="21"/>
        </w:rPr>
      </w:pPr>
      <w:r w:rsidRPr="00776B4C">
        <w:rPr>
          <w:rFonts w:ascii="新宋体" w:eastAsia="新宋体" w:hAnsi="新宋体" w:cs="宋体" w:hint="eastAsia"/>
          <w:szCs w:val="21"/>
        </w:rPr>
        <w:t>（一）服务期限：自合同签订之日起12个月。该项目为长期服务项目，合同一年一签；合同期满可以续签，但合同履行期限最长不得超过三十六个月。如甲方对履约情况不满意，甲方不再续约。</w:t>
      </w:r>
    </w:p>
    <w:p w:rsidR="00E51894" w:rsidRPr="00776B4C" w:rsidRDefault="00E51894" w:rsidP="00E51894">
      <w:pPr>
        <w:spacing w:line="360" w:lineRule="auto"/>
        <w:rPr>
          <w:rFonts w:ascii="新宋体" w:eastAsia="新宋体" w:hAnsi="新宋体" w:cs="宋体"/>
          <w:szCs w:val="21"/>
        </w:rPr>
      </w:pPr>
      <w:r w:rsidRPr="00776B4C">
        <w:rPr>
          <w:rFonts w:ascii="新宋体" w:eastAsia="新宋体" w:hAnsi="新宋体" w:cs="宋体" w:hint="eastAsia"/>
          <w:szCs w:val="21"/>
        </w:rPr>
        <w:t>在项目服务期限内，中标方提供免费提供7*24小时电话技术支持、远程在线支持、现场技术服务等应急响应技术服务；建立应急维护分级规则，应急响应技术维护服务的响应速度和故障处理时效按照应急维护分级规则的要求进行。</w:t>
      </w:r>
    </w:p>
    <w:p w:rsidR="00E51894" w:rsidRPr="00BC7C7F" w:rsidRDefault="00E51894" w:rsidP="00E51894">
      <w:pPr>
        <w:spacing w:line="360" w:lineRule="auto"/>
        <w:rPr>
          <w:rFonts w:ascii="新宋体" w:eastAsia="新宋体" w:hAnsi="新宋体" w:cs="宋体"/>
          <w:szCs w:val="21"/>
        </w:rPr>
      </w:pPr>
      <w:r>
        <w:rPr>
          <w:rFonts w:ascii="新宋体" w:eastAsia="新宋体" w:hAnsi="新宋体" w:cs="宋体" w:hint="eastAsia"/>
          <w:szCs w:val="21"/>
        </w:rPr>
        <w:t>（二）付款方式：</w:t>
      </w:r>
      <w:r w:rsidRPr="00BC7C7F">
        <w:rPr>
          <w:rFonts w:ascii="新宋体" w:eastAsia="新宋体" w:hAnsi="新宋体" w:cs="宋体" w:hint="eastAsia"/>
          <w:szCs w:val="21"/>
        </w:rPr>
        <w:t>该项目费用以人民币结算，按照完成服务工作进度制定分期付款方式,按市财政局有关规定支付。因政府资金计划未到位而导致支付进度延迟的，采购人不承担相关违约责任。如果合同规定的违约金和/或损害赔偿金应由中标人支付，采购人有权从应支付给中标人的款项中扣除。</w:t>
      </w:r>
    </w:p>
    <w:p w:rsidR="00E51894" w:rsidRDefault="00E51894" w:rsidP="00E51894">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E51894" w:rsidRDefault="00E51894" w:rsidP="00E51894">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Pr="003B0BF9">
        <w:rPr>
          <w:rFonts w:ascii="新宋体" w:eastAsia="新宋体" w:hAnsi="新宋体" w:cs="宋体" w:hint="eastAsia"/>
          <w:szCs w:val="21"/>
        </w:rPr>
        <w:t>详见技术</w:t>
      </w:r>
      <w:r w:rsidRPr="003B0BF9">
        <w:rPr>
          <w:rFonts w:ascii="新宋体" w:eastAsia="新宋体" w:hAnsi="新宋体" w:cs="宋体"/>
          <w:szCs w:val="21"/>
        </w:rPr>
        <w:t>要求，以合同</w:t>
      </w:r>
      <w:r w:rsidRPr="003B0BF9">
        <w:rPr>
          <w:rFonts w:ascii="新宋体" w:eastAsia="新宋体" w:hAnsi="新宋体" w:cs="宋体" w:hint="eastAsia"/>
          <w:szCs w:val="21"/>
        </w:rPr>
        <w:t>签订</w:t>
      </w:r>
      <w:r w:rsidRPr="003B0BF9">
        <w:rPr>
          <w:rFonts w:ascii="新宋体" w:eastAsia="新宋体" w:hAnsi="新宋体" w:cs="宋体"/>
          <w:szCs w:val="21"/>
        </w:rPr>
        <w:t>为准。</w:t>
      </w:r>
    </w:p>
    <w:p w:rsidR="00E51894" w:rsidRDefault="00E51894" w:rsidP="00E51894">
      <w:pPr>
        <w:spacing w:line="360" w:lineRule="auto"/>
        <w:rPr>
          <w:rFonts w:ascii="新宋体" w:eastAsia="新宋体" w:hAnsi="新宋体" w:cs="宋体"/>
          <w:szCs w:val="21"/>
        </w:rPr>
      </w:pPr>
      <w:r>
        <w:rPr>
          <w:rFonts w:ascii="新宋体" w:eastAsia="新宋体" w:hAnsi="新宋体" w:cs="宋体" w:hint="eastAsia"/>
          <w:szCs w:val="21"/>
        </w:rPr>
        <w:t>2.违约金：</w:t>
      </w:r>
      <w:r w:rsidRPr="003B0BF9">
        <w:rPr>
          <w:rFonts w:ascii="新宋体" w:eastAsia="新宋体" w:hAnsi="新宋体" w:cs="宋体"/>
          <w:szCs w:val="21"/>
        </w:rPr>
        <w:t>因中标人原因，</w:t>
      </w:r>
      <w:r w:rsidRPr="003B0BF9">
        <w:rPr>
          <w:rFonts w:ascii="新宋体" w:eastAsia="新宋体" w:hAnsi="新宋体" w:cs="宋体" w:hint="eastAsia"/>
          <w:szCs w:val="21"/>
        </w:rPr>
        <w:t>在项目验收时，若未在规定时间内完成相关工作，则支付款按工作量对照分项报价进行核算。该项目涉及核心业务体系，并进行业务考核。中标人若不能按照合同约定高质量完成项目建设和维护，造成严重后果的，报市财政局规定</w:t>
      </w:r>
      <w:proofErr w:type="gramStart"/>
      <w:r w:rsidRPr="003B0BF9">
        <w:rPr>
          <w:rFonts w:ascii="新宋体" w:eastAsia="新宋体" w:hAnsi="新宋体" w:cs="宋体" w:hint="eastAsia"/>
          <w:szCs w:val="21"/>
        </w:rPr>
        <w:t>作出</w:t>
      </w:r>
      <w:proofErr w:type="gramEnd"/>
      <w:r w:rsidRPr="003B0BF9">
        <w:rPr>
          <w:rFonts w:ascii="新宋体" w:eastAsia="新宋体" w:hAnsi="新宋体" w:cs="宋体" w:hint="eastAsia"/>
          <w:szCs w:val="21"/>
        </w:rPr>
        <w:t>处理。</w:t>
      </w:r>
    </w:p>
    <w:p w:rsidR="00E51894" w:rsidRDefault="00E51894" w:rsidP="00E51894">
      <w:pPr>
        <w:spacing w:line="360" w:lineRule="auto"/>
        <w:rPr>
          <w:rFonts w:ascii="新宋体" w:eastAsia="新宋体" w:hAnsi="新宋体" w:cs="宋体"/>
          <w:szCs w:val="21"/>
        </w:rPr>
      </w:pPr>
      <w:r>
        <w:rPr>
          <w:rFonts w:ascii="新宋体" w:eastAsia="新宋体" w:hAnsi="新宋体" w:cs="宋体" w:hint="eastAsia"/>
          <w:szCs w:val="21"/>
        </w:rPr>
        <w:t>（四</w:t>
      </w:r>
      <w:r>
        <w:rPr>
          <w:rFonts w:ascii="新宋体" w:eastAsia="新宋体" w:hAnsi="新宋体" w:cs="宋体"/>
          <w:szCs w:val="21"/>
        </w:rPr>
        <w:t>）</w:t>
      </w:r>
      <w:r>
        <w:rPr>
          <w:rFonts w:ascii="新宋体" w:eastAsia="新宋体" w:hAnsi="新宋体" w:cs="宋体" w:hint="eastAsia"/>
          <w:szCs w:val="21"/>
        </w:rPr>
        <w:t>保密</w:t>
      </w:r>
      <w:r>
        <w:rPr>
          <w:rFonts w:ascii="新宋体" w:eastAsia="新宋体" w:hAnsi="新宋体" w:cs="宋体"/>
          <w:szCs w:val="21"/>
        </w:rPr>
        <w:t>要求</w:t>
      </w:r>
    </w:p>
    <w:p w:rsidR="00E51894" w:rsidRDefault="00E51894" w:rsidP="00E51894">
      <w:pPr>
        <w:spacing w:line="400" w:lineRule="exact"/>
        <w:ind w:firstLineChars="200" w:firstLine="420"/>
        <w:jc w:val="left"/>
      </w:pPr>
      <w: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E51894" w:rsidRPr="003B0BF9" w:rsidRDefault="00E51894" w:rsidP="00E51894">
      <w:pPr>
        <w:spacing w:line="360" w:lineRule="auto"/>
        <w:rPr>
          <w:rFonts w:ascii="新宋体" w:eastAsia="新宋体" w:hAnsi="新宋体" w:cs="宋体"/>
          <w:szCs w:val="21"/>
        </w:rPr>
      </w:pPr>
    </w:p>
    <w:p w:rsidR="00E51894" w:rsidRDefault="00E51894" w:rsidP="00E51894">
      <w:pPr>
        <w:pStyle w:val="3"/>
        <w:rPr>
          <w:rFonts w:ascii="新宋体" w:eastAsia="新宋体" w:hAnsi="新宋体"/>
          <w:kern w:val="44"/>
          <w:szCs w:val="28"/>
        </w:rPr>
      </w:pPr>
      <w:r>
        <w:rPr>
          <w:rFonts w:ascii="新宋体" w:eastAsia="新宋体" w:hAnsi="新宋体" w:hint="eastAsia"/>
          <w:kern w:val="44"/>
          <w:szCs w:val="28"/>
        </w:rPr>
        <w:t>六、投标报价</w:t>
      </w:r>
    </w:p>
    <w:p w:rsidR="00E51894" w:rsidRDefault="00E51894" w:rsidP="00E51894">
      <w:pPr>
        <w:spacing w:line="400" w:lineRule="exact"/>
        <w:ind w:firstLineChars="200" w:firstLine="420"/>
        <w:jc w:val="left"/>
      </w:pPr>
      <w:r>
        <w:t>1</w:t>
      </w:r>
      <w:r>
        <w:t>、投标人应根据本企业的成本自行决定报价，但不得以低于其企业成本的报价投标；评标时，评标委员会认为投标人的报价明显低于其他通过符合性审查投标人的报价，有可能</w:t>
      </w:r>
      <w:r>
        <w:lastRenderedPageBreak/>
        <w:t>影响产品质量或者不能诚信履约的，应当要求其在评标现场合理的时间内提供书面说明，必要时提交相关证明材料；投标人不能证明其报价合理性的，评标委员会应当将其作为无效投标处理。</w:t>
      </w:r>
    </w:p>
    <w:p w:rsidR="00E51894" w:rsidRDefault="00E51894" w:rsidP="00E51894">
      <w:pPr>
        <w:spacing w:line="400" w:lineRule="exact"/>
        <w:ind w:firstLineChars="200" w:firstLine="420"/>
        <w:jc w:val="left"/>
      </w:pPr>
      <w:r>
        <w:t>2</w:t>
      </w:r>
      <w:r>
        <w:t>、投标人的投标报价，应是本项目招标范围和招标文件及合同条款上所列的各项内容中所述的全部，不得以任何理由予以重复，并以投标人在投标文件中提出的综合单价或总价为依据。</w:t>
      </w:r>
    </w:p>
    <w:p w:rsidR="00E51894" w:rsidRDefault="00E51894" w:rsidP="00E51894">
      <w:pPr>
        <w:spacing w:line="400" w:lineRule="exact"/>
        <w:ind w:firstLineChars="200" w:firstLine="420"/>
        <w:jc w:val="left"/>
      </w:pPr>
      <w:r>
        <w:t>3</w:t>
      </w:r>
      <w:r>
        <w:t>、除非政府集中采购机构通过修改招标文件予以更正，否则，投标人应毫无例外地按招标文件所列的清单</w:t>
      </w:r>
      <w:proofErr w:type="gramStart"/>
      <w:r>
        <w:t>中项目</w:t>
      </w:r>
      <w:proofErr w:type="gramEnd"/>
      <w:r>
        <w:t>和数量填报综合单价或总价。投标人未</w:t>
      </w:r>
      <w:proofErr w:type="gramStart"/>
      <w:r>
        <w:t>填综合</w:t>
      </w:r>
      <w:proofErr w:type="gramEnd"/>
      <w:r>
        <w:t>单价或总价的项目，在实施后，将不得以支付，并视作该项费用已包括在其它有价款的综合单价或总价内。</w:t>
      </w:r>
    </w:p>
    <w:p w:rsidR="00E51894" w:rsidRDefault="00E51894" w:rsidP="00E51894">
      <w:pPr>
        <w:spacing w:line="400" w:lineRule="exact"/>
        <w:ind w:firstLineChars="200" w:firstLine="420"/>
        <w:jc w:val="left"/>
      </w:pPr>
      <w:r>
        <w:t>4</w:t>
      </w:r>
      <w:r>
        <w:t>、投标人应充分了解项目的位置、情况、道路及任何其它足以影响投标报价的情况，任何因忽视或误解项目情况而导致的索赔或服务期限延长申请将不获批准。</w:t>
      </w:r>
    </w:p>
    <w:p w:rsidR="00E51894" w:rsidRDefault="00E51894" w:rsidP="00E51894">
      <w:pPr>
        <w:spacing w:line="400" w:lineRule="exact"/>
        <w:ind w:firstLineChars="200" w:firstLine="420"/>
        <w:jc w:val="left"/>
      </w:pPr>
      <w:r>
        <w:t>5</w:t>
      </w:r>
      <w:r>
        <w:t>、投标人不得期望通过索赔等方式获取补偿，否则，除可能遭到拒绝外，还可能将被作为不良行为记录在案，并可能影响其以后参加政府采购的项目投标。各投标人在投标报价时，应充分考虑投标报价的风险。</w:t>
      </w:r>
    </w:p>
    <w:p w:rsidR="00E51894" w:rsidRDefault="00E51894" w:rsidP="00E51894">
      <w:pPr>
        <w:spacing w:line="400" w:lineRule="exact"/>
        <w:ind w:firstLineChars="200" w:firstLine="420"/>
        <w:jc w:val="left"/>
      </w:pPr>
      <w:r>
        <w:t>6</w:t>
      </w:r>
      <w:r>
        <w:t>、投标人须考虑本项目在实施期间的一切可能产生的费用。在项目实施过程中，如项目工作范围发生变更，由中标人和采购人双方协商解决；其余情况下，投标总价均不予调整。</w:t>
      </w:r>
    </w:p>
    <w:p w:rsidR="00E51894" w:rsidRDefault="00E51894" w:rsidP="00E51894">
      <w:pPr>
        <w:spacing w:line="400" w:lineRule="exact"/>
        <w:ind w:firstLineChars="200" w:firstLine="420"/>
        <w:jc w:val="left"/>
      </w:pPr>
      <w:r>
        <w:rPr>
          <w:rFonts w:hint="eastAsia"/>
        </w:rPr>
        <w:t>7.</w:t>
      </w:r>
      <w:r>
        <w:rPr>
          <w:rFonts w:hint="eastAsia"/>
        </w:rPr>
        <w:t>报价方式和币种：</w:t>
      </w:r>
    </w:p>
    <w:p w:rsidR="00E51894" w:rsidRDefault="00E51894" w:rsidP="00E51894">
      <w:pPr>
        <w:spacing w:line="400" w:lineRule="exact"/>
        <w:ind w:firstLineChars="200" w:firstLine="420"/>
        <w:jc w:val="left"/>
      </w:pPr>
      <w:r>
        <w:rPr>
          <w:rFonts w:hint="eastAsia"/>
        </w:rPr>
        <w:t>本项目总报价为完成采购文件及合同条款所规定的工作内容的各项费用，以人民币为结算单位，包括软件开发费用、安装调试费、培训费用、及税费等相关费用。如招标文件中要求分项报价而投标人未单独列明的分项价格，将被视为该费用已包含在其他分项中。投标货币为人民币。</w:t>
      </w:r>
    </w:p>
    <w:p w:rsidR="00E51894" w:rsidRDefault="00E51894" w:rsidP="00E51894">
      <w:pPr>
        <w:spacing w:line="360" w:lineRule="auto"/>
        <w:rPr>
          <w:rFonts w:ascii="新宋体" w:eastAsia="新宋体" w:hAnsi="新宋体" w:cs="宋体"/>
          <w:szCs w:val="21"/>
        </w:rPr>
      </w:pPr>
    </w:p>
    <w:p w:rsidR="00035743" w:rsidRDefault="00035743">
      <w:bookmarkStart w:id="0" w:name="_GoBack"/>
      <w:bookmarkEnd w:id="0"/>
    </w:p>
    <w:sectPr w:rsidR="000357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894" w:rsidRDefault="00E51894" w:rsidP="00E51894">
      <w:r>
        <w:separator/>
      </w:r>
    </w:p>
  </w:endnote>
  <w:endnote w:type="continuationSeparator" w:id="0">
    <w:p w:rsidR="00E51894" w:rsidRDefault="00E51894" w:rsidP="00E5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894" w:rsidRDefault="00E51894" w:rsidP="00E51894">
      <w:r>
        <w:separator/>
      </w:r>
    </w:p>
  </w:footnote>
  <w:footnote w:type="continuationSeparator" w:id="0">
    <w:p w:rsidR="00E51894" w:rsidRDefault="00E51894" w:rsidP="00E518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B20"/>
    <w:rsid w:val="00035743"/>
    <w:rsid w:val="000C4B20"/>
    <w:rsid w:val="00E51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894"/>
    <w:pPr>
      <w:widowControl w:val="0"/>
      <w:jc w:val="both"/>
    </w:pPr>
    <w:rPr>
      <w:rFonts w:ascii="Times New Roman" w:eastAsia="宋体" w:hAnsi="Times New Roman" w:cs="Times New Roman"/>
      <w:szCs w:val="24"/>
    </w:rPr>
  </w:style>
  <w:style w:type="paragraph" w:styleId="3">
    <w:name w:val="heading 3"/>
    <w:basedOn w:val="4"/>
    <w:next w:val="a"/>
    <w:link w:val="3Char1"/>
    <w:qFormat/>
    <w:rsid w:val="00E51894"/>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E5189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518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51894"/>
    <w:rPr>
      <w:sz w:val="18"/>
      <w:szCs w:val="18"/>
    </w:rPr>
  </w:style>
  <w:style w:type="paragraph" w:styleId="a4">
    <w:name w:val="footer"/>
    <w:basedOn w:val="a"/>
    <w:link w:val="Char0"/>
    <w:uiPriority w:val="99"/>
    <w:unhideWhenUsed/>
    <w:rsid w:val="00E5189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51894"/>
    <w:rPr>
      <w:sz w:val="18"/>
      <w:szCs w:val="18"/>
    </w:rPr>
  </w:style>
  <w:style w:type="character" w:customStyle="1" w:styleId="3Char">
    <w:name w:val="标题 3 Char"/>
    <w:basedOn w:val="a0"/>
    <w:uiPriority w:val="9"/>
    <w:semiHidden/>
    <w:rsid w:val="00E51894"/>
    <w:rPr>
      <w:rFonts w:ascii="Times New Roman" w:eastAsia="宋体" w:hAnsi="Times New Roman" w:cs="Times New Roman"/>
      <w:b/>
      <w:bCs/>
      <w:sz w:val="32"/>
      <w:szCs w:val="32"/>
    </w:rPr>
  </w:style>
  <w:style w:type="character" w:customStyle="1" w:styleId="3Char1">
    <w:name w:val="标题 3 Char1"/>
    <w:link w:val="3"/>
    <w:qFormat/>
    <w:rsid w:val="00E51894"/>
    <w:rPr>
      <w:rFonts w:ascii="宋体" w:eastAsia="宋体" w:hAnsi="宋体" w:cs="Times New Roman"/>
      <w:b/>
      <w:bCs/>
      <w:sz w:val="28"/>
      <w:szCs w:val="32"/>
    </w:rPr>
  </w:style>
  <w:style w:type="character" w:customStyle="1" w:styleId="4Char">
    <w:name w:val="标题 4 Char"/>
    <w:basedOn w:val="a0"/>
    <w:link w:val="4"/>
    <w:uiPriority w:val="9"/>
    <w:semiHidden/>
    <w:rsid w:val="00E51894"/>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894"/>
    <w:pPr>
      <w:widowControl w:val="0"/>
      <w:jc w:val="both"/>
    </w:pPr>
    <w:rPr>
      <w:rFonts w:ascii="Times New Roman" w:eastAsia="宋体" w:hAnsi="Times New Roman" w:cs="Times New Roman"/>
      <w:szCs w:val="24"/>
    </w:rPr>
  </w:style>
  <w:style w:type="paragraph" w:styleId="3">
    <w:name w:val="heading 3"/>
    <w:basedOn w:val="4"/>
    <w:next w:val="a"/>
    <w:link w:val="3Char1"/>
    <w:qFormat/>
    <w:rsid w:val="00E51894"/>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E5189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518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51894"/>
    <w:rPr>
      <w:sz w:val="18"/>
      <w:szCs w:val="18"/>
    </w:rPr>
  </w:style>
  <w:style w:type="paragraph" w:styleId="a4">
    <w:name w:val="footer"/>
    <w:basedOn w:val="a"/>
    <w:link w:val="Char0"/>
    <w:uiPriority w:val="99"/>
    <w:unhideWhenUsed/>
    <w:rsid w:val="00E5189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51894"/>
    <w:rPr>
      <w:sz w:val="18"/>
      <w:szCs w:val="18"/>
    </w:rPr>
  </w:style>
  <w:style w:type="character" w:customStyle="1" w:styleId="3Char">
    <w:name w:val="标题 3 Char"/>
    <w:basedOn w:val="a0"/>
    <w:uiPriority w:val="9"/>
    <w:semiHidden/>
    <w:rsid w:val="00E51894"/>
    <w:rPr>
      <w:rFonts w:ascii="Times New Roman" w:eastAsia="宋体" w:hAnsi="Times New Roman" w:cs="Times New Roman"/>
      <w:b/>
      <w:bCs/>
      <w:sz w:val="32"/>
      <w:szCs w:val="32"/>
    </w:rPr>
  </w:style>
  <w:style w:type="character" w:customStyle="1" w:styleId="3Char1">
    <w:name w:val="标题 3 Char1"/>
    <w:link w:val="3"/>
    <w:qFormat/>
    <w:rsid w:val="00E51894"/>
    <w:rPr>
      <w:rFonts w:ascii="宋体" w:eastAsia="宋体" w:hAnsi="宋体" w:cs="Times New Roman"/>
      <w:b/>
      <w:bCs/>
      <w:sz w:val="28"/>
      <w:szCs w:val="32"/>
    </w:rPr>
  </w:style>
  <w:style w:type="character" w:customStyle="1" w:styleId="4Char">
    <w:name w:val="标题 4 Char"/>
    <w:basedOn w:val="a0"/>
    <w:link w:val="4"/>
    <w:uiPriority w:val="9"/>
    <w:semiHidden/>
    <w:rsid w:val="00E5189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1098</Words>
  <Characters>6265</Characters>
  <Application>Microsoft Office Word</Application>
  <DocSecurity>0</DocSecurity>
  <Lines>52</Lines>
  <Paragraphs>14</Paragraphs>
  <ScaleCrop>false</ScaleCrop>
  <Company/>
  <LinksUpToDate>false</LinksUpToDate>
  <CharactersWithSpaces>7349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2023-04-28T08:35:00Z</dcterms:created>
  <dcterms:modified xsi:type="dcterms:W3CDTF">2023-04-28T08:35:00Z</dcterms:modified>
</cp:coreProperties>
</file>