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ascii="新宋体" w:hAnsi="新宋体" w:eastAsia="新宋体"/>
        </w:rPr>
      </w:pPr>
      <w:bookmarkStart w:id="0" w:name="_Toc76031641"/>
      <w:r>
        <w:rPr>
          <w:rFonts w:hint="eastAsia" w:ascii="新宋体" w:hAnsi="新宋体" w:eastAsia="新宋体"/>
        </w:rPr>
        <w:t>第二部分　技术部分</w:t>
      </w:r>
      <w:bookmarkEnd w:id="0"/>
    </w:p>
    <w:p>
      <w:pPr>
        <w:pStyle w:val="4"/>
        <w:jc w:val="center"/>
        <w:rPr>
          <w:rFonts w:ascii="新宋体" w:hAnsi="新宋体" w:eastAsia="新宋体"/>
        </w:rPr>
      </w:pPr>
      <w:bookmarkStart w:id="1" w:name="_Toc76031642"/>
      <w:r>
        <w:rPr>
          <w:rFonts w:hint="eastAsia" w:ascii="新宋体" w:hAnsi="新宋体" w:eastAsia="新宋体"/>
        </w:rPr>
        <w:t>第六章　项目采购需求</w:t>
      </w:r>
      <w:bookmarkEnd w:id="1"/>
    </w:p>
    <w:p>
      <w:pPr>
        <w:pStyle w:val="5"/>
        <w:jc w:val="center"/>
        <w:rPr>
          <w:rFonts w:ascii="新宋体" w:hAnsi="新宋体" w:eastAsia="新宋体"/>
          <w:sz w:val="28"/>
          <w:szCs w:val="28"/>
        </w:rPr>
      </w:pPr>
      <w:bookmarkStart w:id="2" w:name="_Toc76031643"/>
      <w:r>
        <w:rPr>
          <w:rFonts w:hint="eastAsia" w:ascii="新宋体" w:hAnsi="新宋体" w:eastAsia="新宋体"/>
          <w:sz w:val="28"/>
          <w:szCs w:val="28"/>
        </w:rPr>
        <w:t>第一节 项目概述</w:t>
      </w:r>
      <w:bookmarkEnd w:id="2"/>
    </w:p>
    <w:p>
      <w:pPr>
        <w:pStyle w:val="6"/>
        <w:spacing w:line="360" w:lineRule="auto"/>
        <w:rPr>
          <w:rFonts w:ascii="新宋体" w:hAnsi="新宋体" w:eastAsia="新宋体"/>
          <w:sz w:val="24"/>
          <w:szCs w:val="24"/>
        </w:rPr>
      </w:pPr>
      <w:r>
        <w:rPr>
          <w:rFonts w:hint="eastAsia" w:ascii="新宋体" w:hAnsi="新宋体" w:eastAsia="新宋体"/>
          <w:sz w:val="24"/>
          <w:szCs w:val="24"/>
          <w:lang w:val="en-US" w:eastAsia="zh-CN"/>
        </w:rPr>
        <w:t>一、</w:t>
      </w:r>
      <w:r>
        <w:rPr>
          <w:rFonts w:hint="eastAsia" w:ascii="新宋体" w:hAnsi="新宋体" w:eastAsia="新宋体"/>
          <w:sz w:val="24"/>
          <w:szCs w:val="24"/>
        </w:rPr>
        <w:t>服务清单</w:t>
      </w:r>
    </w:p>
    <w:tbl>
      <w:tblPr>
        <w:tblStyle w:val="1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3685"/>
        <w:gridCol w:w="851"/>
        <w:gridCol w:w="850"/>
        <w:gridCol w:w="283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6"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序号</w:t>
            </w:r>
          </w:p>
        </w:tc>
        <w:tc>
          <w:tcPr>
            <w:tcW w:w="3685"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名称</w:t>
            </w:r>
          </w:p>
        </w:tc>
        <w:tc>
          <w:tcPr>
            <w:tcW w:w="851"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单位</w:t>
            </w:r>
          </w:p>
        </w:tc>
        <w:tc>
          <w:tcPr>
            <w:tcW w:w="850"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数量</w:t>
            </w:r>
          </w:p>
        </w:tc>
        <w:tc>
          <w:tcPr>
            <w:tcW w:w="2833"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预算金额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6" w:type="dxa"/>
            <w:noWrap w:val="0"/>
            <w:vAlign w:val="center"/>
          </w:tcPr>
          <w:p>
            <w:pPr>
              <w:adjustRightInd w:val="0"/>
              <w:snapToGrid w:val="0"/>
              <w:jc w:val="center"/>
              <w:rPr>
                <w:rFonts w:ascii="新宋体" w:hAnsi="新宋体" w:eastAsia="新宋体" w:cs="Arial Unicode MS"/>
                <w:snapToGrid w:val="0"/>
                <w:kern w:val="0"/>
                <w:sz w:val="24"/>
                <w:szCs w:val="24"/>
              </w:rPr>
            </w:pPr>
            <w:r>
              <w:rPr>
                <w:rFonts w:hint="eastAsia" w:ascii="新宋体" w:hAnsi="新宋体" w:eastAsia="新宋体" w:cs="Arial Unicode MS"/>
                <w:snapToGrid w:val="0"/>
                <w:kern w:val="0"/>
                <w:sz w:val="24"/>
                <w:szCs w:val="24"/>
              </w:rPr>
              <w:t>1</w:t>
            </w:r>
          </w:p>
        </w:tc>
        <w:tc>
          <w:tcPr>
            <w:tcW w:w="3685"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互联网+稽核查应用项目运维服务</w:t>
            </w:r>
          </w:p>
        </w:tc>
        <w:tc>
          <w:tcPr>
            <w:tcW w:w="851"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项</w:t>
            </w:r>
          </w:p>
        </w:tc>
        <w:tc>
          <w:tcPr>
            <w:tcW w:w="850"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1</w:t>
            </w:r>
          </w:p>
        </w:tc>
        <w:tc>
          <w:tcPr>
            <w:tcW w:w="2833" w:type="dxa"/>
            <w:noWrap w:val="0"/>
            <w:vAlign w:val="center"/>
          </w:tcPr>
          <w:p>
            <w:pPr>
              <w:jc w:val="center"/>
              <w:rPr>
                <w:rFonts w:ascii="新宋体" w:hAnsi="新宋体" w:eastAsia="新宋体"/>
                <w:snapToGrid w:val="0"/>
                <w:sz w:val="24"/>
                <w:szCs w:val="24"/>
              </w:rPr>
            </w:pPr>
            <w:r>
              <w:rPr>
                <w:rFonts w:hint="eastAsia" w:ascii="新宋体" w:hAnsi="新宋体" w:eastAsia="新宋体"/>
                <w:color w:val="auto"/>
                <w:sz w:val="24"/>
                <w:szCs w:val="24"/>
                <w:highlight w:val="none"/>
              </w:rPr>
              <w:t>人民币陆拾壹万陆仟柒佰伍拾玖元整（616,759.00元）</w:t>
            </w:r>
          </w:p>
        </w:tc>
      </w:tr>
    </w:tbl>
    <w:p>
      <w:pPr>
        <w:spacing w:line="360" w:lineRule="auto"/>
        <w:rPr>
          <w:rFonts w:hint="eastAsia" w:ascii="新宋体" w:hAnsi="新宋体" w:eastAsia="新宋体"/>
          <w:bCs/>
          <w:sz w:val="24"/>
          <w:szCs w:val="24"/>
        </w:rPr>
      </w:pPr>
      <w:r>
        <w:rPr>
          <w:rFonts w:hint="eastAsia" w:ascii="新宋体" w:hAnsi="新宋体" w:eastAsia="新宋体"/>
          <w:b/>
          <w:bCs/>
          <w:sz w:val="24"/>
          <w:szCs w:val="24"/>
        </w:rPr>
        <w:t>二、项目简介</w:t>
      </w:r>
      <w:r>
        <w:rPr>
          <w:rFonts w:hint="eastAsia" w:ascii="新宋体" w:hAnsi="新宋体" w:eastAsia="新宋体"/>
          <w:bCs/>
          <w:sz w:val="24"/>
          <w:szCs w:val="24"/>
        </w:rPr>
        <w:br w:type="textWrapping"/>
      </w:r>
      <w:r>
        <w:rPr>
          <w:rFonts w:hint="eastAsia" w:ascii="新宋体" w:hAnsi="新宋体" w:eastAsia="新宋体"/>
          <w:bCs/>
          <w:sz w:val="24"/>
          <w:szCs w:val="24"/>
        </w:rPr>
        <w:t>海关总署“互联网+稽核查应用”项目，是由深圳海关承建的署级项目，该项目主要通过直接、实时抓取企业生产经营管理系统或仓储管理系统的原始数据，在实现海关监管数据、企业生产经营管理系统或仓储管理系统数据相互印证的基础上，建立智能监控分析模型，实施远程网上稽核查作业的管理模式。该项目于2020年完成项目立项和合同签订，2021年7月、2022年5月分别完成内、外网端上线，并于2022年6月完成合同验收。为确保总署“互联网+稽核查应用”能够持续正常运行，计划购买为期一年的运维服务。</w:t>
      </w:r>
    </w:p>
    <w:p>
      <w:pPr>
        <w:jc w:val="center"/>
        <w:rPr>
          <w:rFonts w:ascii="新宋体" w:hAnsi="新宋体" w:eastAsia="新宋体"/>
          <w:sz w:val="28"/>
          <w:szCs w:val="28"/>
        </w:rPr>
      </w:pPr>
      <w:bookmarkStart w:id="3" w:name="_Toc76031644"/>
      <w:r>
        <w:rPr>
          <w:rFonts w:hint="eastAsia" w:ascii="新宋体" w:hAnsi="新宋体" w:eastAsia="新宋体"/>
          <w:b/>
          <w:bCs/>
          <w:sz w:val="28"/>
          <w:szCs w:val="28"/>
        </w:rPr>
        <w:t>第二节 商务需求</w:t>
      </w:r>
      <w:bookmarkEnd w:id="3"/>
    </w:p>
    <w:p>
      <w:pPr>
        <w:spacing w:line="360" w:lineRule="auto"/>
        <w:rPr>
          <w:rFonts w:hint="eastAsia" w:ascii="新宋体" w:hAnsi="新宋体" w:eastAsia="新宋体"/>
          <w:sz w:val="24"/>
          <w:szCs w:val="24"/>
        </w:rPr>
      </w:pPr>
      <w:r>
        <w:rPr>
          <w:rFonts w:hint="eastAsia" w:ascii="新宋体" w:hAnsi="新宋体" w:eastAsia="新宋体"/>
          <w:b/>
          <w:bCs/>
          <w:sz w:val="24"/>
          <w:szCs w:val="24"/>
        </w:rPr>
        <w:t>一、合同签订要求</w:t>
      </w:r>
      <w:r>
        <w:rPr>
          <w:rFonts w:hint="eastAsia" w:ascii="新宋体" w:hAnsi="新宋体" w:eastAsia="新宋体"/>
          <w:sz w:val="24"/>
          <w:szCs w:val="24"/>
        </w:rPr>
        <w:br w:type="textWrapping"/>
      </w:r>
      <w:r>
        <w:rPr>
          <w:rFonts w:hint="eastAsia" w:ascii="新宋体" w:hAnsi="新宋体" w:eastAsia="新宋体"/>
          <w:sz w:val="24"/>
          <w:szCs w:val="24"/>
        </w:rPr>
        <w:t>中标方在收到中标通知书后，须在30个日历日内与采购单位签订合同。</w:t>
      </w:r>
      <w:r>
        <w:rPr>
          <w:rFonts w:hint="eastAsia" w:ascii="新宋体" w:hAnsi="新宋体" w:eastAsia="新宋体"/>
          <w:sz w:val="24"/>
          <w:szCs w:val="24"/>
        </w:rPr>
        <w:br w:type="textWrapping"/>
      </w:r>
      <w:r>
        <w:rPr>
          <w:rFonts w:hint="eastAsia" w:ascii="新宋体" w:hAnsi="新宋体" w:eastAsia="新宋体"/>
          <w:b/>
          <w:bCs/>
          <w:sz w:val="24"/>
          <w:szCs w:val="24"/>
        </w:rPr>
        <w:t>二、工期和地点要求</w:t>
      </w:r>
      <w:r>
        <w:rPr>
          <w:rFonts w:hint="eastAsia" w:ascii="新宋体" w:hAnsi="新宋体" w:eastAsia="新宋体"/>
          <w:sz w:val="24"/>
          <w:szCs w:val="24"/>
        </w:rPr>
        <w:br w:type="textWrapping"/>
      </w:r>
      <w:r>
        <w:rPr>
          <w:rFonts w:hint="eastAsia" w:ascii="新宋体" w:hAnsi="新宋体" w:eastAsia="新宋体"/>
          <w:sz w:val="24"/>
          <w:szCs w:val="24"/>
        </w:rPr>
        <w:t>（一）工期：本项目周期为自合同签订之日起一年。</w:t>
      </w:r>
      <w:r>
        <w:rPr>
          <w:rFonts w:hint="eastAsia" w:ascii="新宋体" w:hAnsi="新宋体" w:eastAsia="新宋体"/>
          <w:sz w:val="24"/>
          <w:szCs w:val="24"/>
        </w:rPr>
        <w:br w:type="textWrapping"/>
      </w:r>
      <w:r>
        <w:rPr>
          <w:rFonts w:hint="eastAsia" w:ascii="新宋体" w:hAnsi="新宋体" w:eastAsia="新宋体"/>
          <w:sz w:val="24"/>
          <w:szCs w:val="24"/>
        </w:rPr>
        <w:t>（二）地点：由深圳海关指定的地点。</w:t>
      </w:r>
      <w:r>
        <w:rPr>
          <w:rFonts w:hint="eastAsia" w:ascii="新宋体" w:hAnsi="新宋体" w:eastAsia="新宋体"/>
          <w:sz w:val="24"/>
          <w:szCs w:val="24"/>
        </w:rPr>
        <w:br w:type="textWrapping"/>
      </w:r>
      <w:r>
        <w:rPr>
          <w:rFonts w:hint="eastAsia" w:ascii="新宋体" w:hAnsi="新宋体" w:eastAsia="新宋体"/>
          <w:b/>
          <w:bCs/>
          <w:sz w:val="24"/>
          <w:szCs w:val="24"/>
        </w:rPr>
        <w:t>三、付款方式</w:t>
      </w:r>
      <w:r>
        <w:rPr>
          <w:rFonts w:hint="eastAsia" w:ascii="新宋体" w:hAnsi="新宋体" w:eastAsia="新宋体"/>
          <w:sz w:val="24"/>
          <w:szCs w:val="24"/>
        </w:rPr>
        <w:br w:type="textWrapping"/>
      </w:r>
      <w:r>
        <w:rPr>
          <w:rFonts w:hint="eastAsia" w:ascii="新宋体" w:hAnsi="新宋体" w:eastAsia="新宋体"/>
          <w:sz w:val="24"/>
          <w:szCs w:val="24"/>
        </w:rPr>
        <w:t>（1）合同签订后，乙方提交下列单据之日起20个工作日内，甲方向乙方支付合同总价30%合同款。</w:t>
      </w:r>
    </w:p>
    <w:p>
      <w:pPr>
        <w:spacing w:line="360" w:lineRule="auto"/>
        <w:rPr>
          <w:rFonts w:hint="eastAsia" w:ascii="新宋体" w:hAnsi="新宋体" w:eastAsia="新宋体"/>
          <w:sz w:val="24"/>
          <w:szCs w:val="24"/>
        </w:rPr>
      </w:pPr>
      <w:r>
        <w:rPr>
          <w:rFonts w:hint="eastAsia" w:ascii="新宋体" w:hAnsi="新宋体" w:eastAsia="新宋体"/>
          <w:sz w:val="24"/>
          <w:szCs w:val="24"/>
        </w:rPr>
        <w:t>乙方提交单据：付款申请函（盖章原件）；相应金额发票（原件）；合同正文（复印件并加盖公章）；中标通知书（复印件）。</w:t>
      </w:r>
    </w:p>
    <w:p>
      <w:pPr>
        <w:spacing w:line="360" w:lineRule="auto"/>
        <w:rPr>
          <w:rFonts w:hint="eastAsia" w:ascii="新宋体" w:hAnsi="新宋体" w:eastAsia="新宋体"/>
          <w:sz w:val="24"/>
          <w:szCs w:val="24"/>
        </w:rPr>
      </w:pPr>
      <w:r>
        <w:rPr>
          <w:rFonts w:hint="eastAsia" w:ascii="新宋体" w:hAnsi="新宋体" w:eastAsia="新宋体"/>
          <w:sz w:val="24"/>
          <w:szCs w:val="24"/>
        </w:rPr>
        <w:t>（2）2023年12月，乙方提交下列单据之日起20个工作日内，甲方向乙方支付合同总价70%合同款。</w:t>
      </w:r>
    </w:p>
    <w:p>
      <w:pPr>
        <w:spacing w:line="360" w:lineRule="auto"/>
        <w:rPr>
          <w:rFonts w:hint="eastAsia" w:ascii="新宋体" w:hAnsi="新宋体" w:eastAsia="新宋体"/>
          <w:sz w:val="24"/>
          <w:szCs w:val="24"/>
        </w:rPr>
      </w:pPr>
      <w:r>
        <w:rPr>
          <w:rFonts w:hint="eastAsia" w:ascii="新宋体" w:hAnsi="新宋体" w:eastAsia="新宋体"/>
          <w:sz w:val="24"/>
          <w:szCs w:val="24"/>
        </w:rPr>
        <w:t>乙方提交单据：付款申请函（盖章原件）；相应金额发票（原件）；合同正文（复印件并加盖公章）；合同总价5%的银行履约保函（原件），其中履约保函期限为合同有效期限结束之日止，若项目延误，保函期限按期顺延。</w:t>
      </w:r>
    </w:p>
    <w:p>
      <w:pPr>
        <w:spacing w:line="360" w:lineRule="auto"/>
        <w:rPr>
          <w:rFonts w:hint="eastAsia" w:ascii="新宋体" w:hAnsi="新宋体" w:eastAsia="新宋体"/>
          <w:sz w:val="24"/>
          <w:szCs w:val="24"/>
        </w:rPr>
      </w:pPr>
      <w:r>
        <w:rPr>
          <w:rFonts w:hint="eastAsia" w:ascii="新宋体" w:hAnsi="新宋体" w:eastAsia="新宋体"/>
          <w:sz w:val="24"/>
          <w:szCs w:val="24"/>
        </w:rPr>
        <w:t>（3）在乙方无违约情形的前提下，银行履约保函在质保期满后20个工作日内退还。</w:t>
      </w:r>
    </w:p>
    <w:p>
      <w:pPr>
        <w:spacing w:line="360" w:lineRule="auto"/>
        <w:rPr>
          <w:rFonts w:hint="eastAsia" w:ascii="新宋体" w:hAnsi="新宋体" w:eastAsia="新宋体"/>
          <w:sz w:val="24"/>
          <w:szCs w:val="24"/>
        </w:rPr>
      </w:pPr>
      <w:r>
        <w:rPr>
          <w:rFonts w:hint="eastAsia" w:ascii="新宋体" w:hAnsi="新宋体" w:eastAsia="新宋体"/>
          <w:sz w:val="24"/>
          <w:szCs w:val="24"/>
        </w:rPr>
        <w:t>（4）在甲方银行发生的费用由甲方承担，在乙方银行发生的费用由乙方承担。</w:t>
      </w:r>
    </w:p>
    <w:p>
      <w:pPr>
        <w:spacing w:line="360" w:lineRule="auto"/>
        <w:rPr>
          <w:rFonts w:hint="eastAsia" w:ascii="新宋体" w:hAnsi="新宋体" w:eastAsia="新宋体"/>
          <w:sz w:val="24"/>
          <w:szCs w:val="24"/>
        </w:rPr>
      </w:pPr>
      <w:r>
        <w:rPr>
          <w:rFonts w:hint="eastAsia" w:ascii="新宋体" w:hAnsi="新宋体" w:eastAsia="新宋体"/>
          <w:sz w:val="24"/>
          <w:szCs w:val="24"/>
        </w:rPr>
        <w:t>（5）甲方因实行政府国库集中支付延误时间不包括在上述工作日。</w:t>
      </w:r>
    </w:p>
    <w:p>
      <w:pPr>
        <w:spacing w:line="360" w:lineRule="auto"/>
        <w:rPr>
          <w:rFonts w:hint="eastAsia" w:ascii="新宋体" w:hAnsi="新宋体" w:eastAsia="新宋体"/>
          <w:sz w:val="24"/>
          <w:szCs w:val="24"/>
        </w:rPr>
      </w:pPr>
      <w:r>
        <w:rPr>
          <w:rFonts w:hint="eastAsia" w:ascii="新宋体" w:hAnsi="新宋体" w:eastAsia="新宋体"/>
          <w:sz w:val="24"/>
          <w:szCs w:val="24"/>
        </w:rPr>
        <w:t>（6）项目延期需由甲方认定并签署相关文档；若出现财政资金不到位、集中支付延误，由双方协商支付，但乙方不得以此擅自停工或停止执行服务计划。</w:t>
      </w:r>
      <w:r>
        <w:rPr>
          <w:rFonts w:hint="eastAsia" w:ascii="新宋体" w:hAnsi="新宋体" w:eastAsia="新宋体"/>
          <w:sz w:val="24"/>
          <w:szCs w:val="24"/>
        </w:rPr>
        <w:br w:type="textWrapping"/>
      </w:r>
      <w:r>
        <w:rPr>
          <w:rFonts w:hint="eastAsia" w:ascii="新宋体" w:hAnsi="新宋体" w:eastAsia="新宋体"/>
          <w:b/>
          <w:bCs/>
          <w:sz w:val="24"/>
          <w:szCs w:val="24"/>
        </w:rPr>
        <w:t>四、验收要求</w:t>
      </w:r>
      <w:r>
        <w:rPr>
          <w:rFonts w:hint="eastAsia" w:ascii="新宋体" w:hAnsi="新宋体" w:eastAsia="新宋体"/>
          <w:sz w:val="24"/>
          <w:szCs w:val="24"/>
        </w:rPr>
        <w:br w:type="textWrapping"/>
      </w:r>
      <w:r>
        <w:rPr>
          <w:rFonts w:hint="eastAsia" w:ascii="新宋体" w:hAnsi="新宋体" w:eastAsia="新宋体"/>
          <w:sz w:val="24"/>
          <w:szCs w:val="24"/>
        </w:rPr>
        <w:t>合同验收合格的条件必须至少满足以下要求：</w:t>
      </w:r>
      <w:r>
        <w:rPr>
          <w:rFonts w:hint="eastAsia" w:ascii="新宋体" w:hAnsi="新宋体" w:eastAsia="新宋体"/>
          <w:sz w:val="24"/>
          <w:szCs w:val="24"/>
        </w:rPr>
        <w:br w:type="textWrapping"/>
      </w:r>
      <w:r>
        <w:rPr>
          <w:rFonts w:hint="eastAsia" w:ascii="新宋体" w:hAnsi="新宋体" w:eastAsia="新宋体"/>
          <w:sz w:val="24"/>
          <w:szCs w:val="24"/>
        </w:rPr>
        <w:t>（一）已提供了合同要求的全部资料；</w:t>
      </w:r>
      <w:r>
        <w:rPr>
          <w:rFonts w:hint="eastAsia" w:ascii="新宋体" w:hAnsi="新宋体" w:eastAsia="新宋体"/>
          <w:sz w:val="24"/>
          <w:szCs w:val="24"/>
        </w:rPr>
        <w:br w:type="textWrapping"/>
      </w:r>
      <w:r>
        <w:rPr>
          <w:rFonts w:hint="eastAsia" w:ascii="新宋体" w:hAnsi="新宋体" w:eastAsia="新宋体"/>
          <w:sz w:val="24"/>
          <w:szCs w:val="24"/>
        </w:rPr>
        <w:t>（二）移交与本项目有关的相关技术资料。项目成果以及由此形成的知识产权属深圳海关所有，包括文档资料、软件程序等。</w:t>
      </w:r>
      <w:r>
        <w:rPr>
          <w:rFonts w:hint="eastAsia" w:ascii="新宋体" w:hAnsi="新宋体" w:eastAsia="新宋体"/>
          <w:sz w:val="24"/>
          <w:szCs w:val="24"/>
        </w:rPr>
        <w:br w:type="textWrapping"/>
      </w:r>
      <w:r>
        <w:rPr>
          <w:rFonts w:hint="eastAsia" w:ascii="新宋体" w:hAnsi="新宋体" w:eastAsia="新宋体"/>
          <w:sz w:val="24"/>
          <w:szCs w:val="24"/>
        </w:rPr>
        <w:t>（三）具体验收由深圳海关组织相关业务、技术专家进行评审。中标方需承诺协助为验收提供相关服务。</w:t>
      </w:r>
      <w:r>
        <w:rPr>
          <w:rFonts w:hint="eastAsia" w:ascii="新宋体" w:hAnsi="新宋体" w:eastAsia="新宋体"/>
          <w:sz w:val="24"/>
          <w:szCs w:val="24"/>
        </w:rPr>
        <w:br w:type="textWrapping"/>
      </w:r>
      <w:r>
        <w:rPr>
          <w:rFonts w:hint="eastAsia" w:ascii="新宋体" w:hAnsi="新宋体" w:eastAsia="新宋体"/>
          <w:b/>
          <w:bCs/>
          <w:sz w:val="24"/>
          <w:szCs w:val="24"/>
        </w:rPr>
        <w:t>五、风险及质量管理要求</w:t>
      </w:r>
      <w:r>
        <w:rPr>
          <w:rFonts w:hint="eastAsia" w:ascii="新宋体" w:hAnsi="新宋体" w:eastAsia="新宋体"/>
          <w:sz w:val="24"/>
          <w:szCs w:val="24"/>
        </w:rPr>
        <w:br w:type="textWrapping"/>
      </w:r>
      <w:r>
        <w:rPr>
          <w:rFonts w:hint="eastAsia" w:ascii="新宋体" w:hAnsi="新宋体" w:eastAsia="新宋体"/>
          <w:sz w:val="24"/>
          <w:szCs w:val="24"/>
        </w:rPr>
        <w:t>（一）投标人在中标后提供详细、夯实的集成实施方案以及项目计划等文档，所有项目文档要求以招标方的要求为准，并且需要通过招标方审核。</w:t>
      </w:r>
      <w:r>
        <w:rPr>
          <w:rFonts w:hint="eastAsia" w:ascii="新宋体" w:hAnsi="新宋体" w:eastAsia="新宋体"/>
          <w:sz w:val="24"/>
          <w:szCs w:val="24"/>
        </w:rPr>
        <w:br w:type="textWrapping"/>
      </w:r>
      <w:r>
        <w:rPr>
          <w:rFonts w:hint="eastAsia" w:ascii="新宋体" w:hAnsi="新宋体" w:eastAsia="新宋体"/>
          <w:sz w:val="24"/>
          <w:szCs w:val="24"/>
        </w:rPr>
        <w:t>（二）中标方需按招标方要求，解决各类风险、问题。</w:t>
      </w:r>
      <w:r>
        <w:rPr>
          <w:rFonts w:hint="eastAsia" w:ascii="新宋体" w:hAnsi="新宋体" w:eastAsia="新宋体"/>
          <w:sz w:val="24"/>
          <w:szCs w:val="24"/>
        </w:rPr>
        <w:br w:type="textWrapping"/>
      </w:r>
      <w:r>
        <w:rPr>
          <w:rFonts w:hint="eastAsia" w:ascii="新宋体" w:hAnsi="新宋体" w:eastAsia="新宋体"/>
          <w:sz w:val="24"/>
          <w:szCs w:val="24"/>
        </w:rPr>
        <w:t>（三）中标方需接受招标方驻场监管，为相应工作开展提供便利条件，协助完成相应审核、检查等。</w:t>
      </w:r>
      <w:r>
        <w:rPr>
          <w:rFonts w:hint="eastAsia" w:ascii="新宋体" w:hAnsi="新宋体" w:eastAsia="新宋体"/>
          <w:sz w:val="24"/>
          <w:szCs w:val="24"/>
        </w:rPr>
        <w:br w:type="textWrapping"/>
      </w:r>
      <w:r>
        <w:rPr>
          <w:rFonts w:hint="eastAsia" w:ascii="新宋体" w:hAnsi="新宋体" w:eastAsia="新宋体"/>
          <w:sz w:val="24"/>
          <w:szCs w:val="24"/>
        </w:rPr>
        <w:t>（四）如因国家相关政策发生变化，应以最新的国家相关政策为准并进行执行，如因国家相关政策发生变化而导致本次项目的合同无法继续执行，采购人不承担任何责任，投标人自行承担由此带来的任何风险及后果。</w:t>
      </w:r>
      <w:r>
        <w:rPr>
          <w:rFonts w:hint="eastAsia" w:ascii="新宋体" w:hAnsi="新宋体" w:eastAsia="新宋体"/>
          <w:sz w:val="24"/>
          <w:szCs w:val="24"/>
        </w:rPr>
        <w:br w:type="textWrapping"/>
      </w:r>
      <w:r>
        <w:rPr>
          <w:rFonts w:hint="eastAsia" w:ascii="新宋体" w:hAnsi="新宋体" w:eastAsia="新宋体"/>
          <w:b/>
          <w:bCs/>
          <w:sz w:val="24"/>
          <w:szCs w:val="24"/>
        </w:rPr>
        <w:t>六、人员管理要求</w:t>
      </w:r>
      <w:r>
        <w:rPr>
          <w:rFonts w:hint="eastAsia" w:ascii="新宋体" w:hAnsi="新宋体" w:eastAsia="新宋体"/>
          <w:sz w:val="24"/>
          <w:szCs w:val="24"/>
        </w:rPr>
        <w:br w:type="textWrapping"/>
      </w:r>
      <w:r>
        <w:rPr>
          <w:rFonts w:hint="eastAsia" w:ascii="新宋体" w:hAnsi="新宋体" w:eastAsia="新宋体"/>
          <w:sz w:val="24"/>
          <w:szCs w:val="24"/>
        </w:rPr>
        <w:t>中标方应承诺保持项目团队核心成员的稳定性，未经采购人许可不得随便调整项目团队核心成员。中标方须按照采购人要求签署相关数据安全承诺书、网络安全承诺书、保密承诺书等，严格按照采购人要求遵守相关法律法规以及相关网络安全和数据安全管理制度、文件规定等。</w:t>
      </w:r>
    </w:p>
    <w:p>
      <w:pPr>
        <w:jc w:val="center"/>
        <w:rPr>
          <w:b/>
          <w:bCs/>
          <w:sz w:val="28"/>
          <w:szCs w:val="28"/>
        </w:rPr>
      </w:pPr>
      <w:bookmarkStart w:id="4" w:name="_Toc76031645"/>
      <w:r>
        <w:rPr>
          <w:rFonts w:hint="eastAsia"/>
          <w:b/>
          <w:bCs/>
          <w:sz w:val="28"/>
          <w:szCs w:val="28"/>
        </w:rPr>
        <w:t>第三节 技术需求</w:t>
      </w:r>
      <w:bookmarkEnd w:id="4"/>
    </w:p>
    <w:p>
      <w:pPr>
        <w:spacing w:line="360" w:lineRule="auto"/>
        <w:rPr>
          <w:rFonts w:hint="eastAsia" w:ascii="宋体" w:hAnsi="宋体" w:cs="宋体"/>
          <w:b/>
          <w:bCs/>
          <w:sz w:val="24"/>
          <w:szCs w:val="24"/>
        </w:rPr>
      </w:pPr>
      <w:r>
        <w:rPr>
          <w:rFonts w:hint="eastAsia" w:ascii="宋体" w:hAnsi="宋体" w:cs="宋体"/>
          <w:b/>
          <w:bCs/>
          <w:sz w:val="24"/>
          <w:szCs w:val="24"/>
        </w:rPr>
        <w:t>一、必要性与可行性</w:t>
      </w:r>
    </w:p>
    <w:p>
      <w:pPr>
        <w:spacing w:line="360" w:lineRule="auto"/>
        <w:rPr>
          <w:rFonts w:hint="eastAsia" w:ascii="宋体" w:hAnsi="宋体" w:cs="宋体"/>
          <w:sz w:val="24"/>
          <w:szCs w:val="24"/>
        </w:rPr>
      </w:pPr>
      <w:r>
        <w:rPr>
          <w:rFonts w:hint="eastAsia" w:ascii="宋体" w:hAnsi="宋体" w:cs="宋体"/>
          <w:sz w:val="24"/>
          <w:szCs w:val="24"/>
        </w:rPr>
        <w:t>（一）必要性。</w:t>
      </w:r>
    </w:p>
    <w:p>
      <w:pPr>
        <w:spacing w:line="360" w:lineRule="auto"/>
        <w:rPr>
          <w:rFonts w:hint="eastAsia" w:ascii="宋体" w:hAnsi="宋体" w:cs="宋体"/>
          <w:sz w:val="24"/>
          <w:szCs w:val="24"/>
        </w:rPr>
      </w:pPr>
      <w:r>
        <w:rPr>
          <w:rFonts w:hint="eastAsia" w:ascii="宋体" w:hAnsi="宋体" w:cs="宋体"/>
          <w:sz w:val="24"/>
          <w:szCs w:val="24"/>
        </w:rPr>
        <w:t>1.保障系统稳定。通过定期检查和维护，可避免系统故障，确保系统能够持续正常运行。</w:t>
      </w:r>
    </w:p>
    <w:p>
      <w:pPr>
        <w:spacing w:line="360" w:lineRule="auto"/>
        <w:rPr>
          <w:rFonts w:hint="eastAsia" w:ascii="宋体" w:hAnsi="宋体" w:cs="宋体"/>
          <w:sz w:val="24"/>
          <w:szCs w:val="24"/>
        </w:rPr>
      </w:pPr>
      <w:r>
        <w:rPr>
          <w:rFonts w:hint="eastAsia" w:ascii="宋体" w:hAnsi="宋体" w:cs="宋体"/>
          <w:sz w:val="24"/>
          <w:szCs w:val="24"/>
        </w:rPr>
        <w:t>2.修复系统问题。需对系统使用中出现的功能缺陷及时进行修复，以确保系统能正常使用。</w:t>
      </w:r>
    </w:p>
    <w:p>
      <w:pPr>
        <w:spacing w:line="360" w:lineRule="auto"/>
        <w:rPr>
          <w:rFonts w:hint="eastAsia" w:ascii="宋体" w:hAnsi="宋体" w:cs="宋体"/>
          <w:sz w:val="24"/>
          <w:szCs w:val="24"/>
        </w:rPr>
      </w:pPr>
      <w:r>
        <w:rPr>
          <w:rFonts w:hint="eastAsia" w:ascii="宋体" w:hAnsi="宋体" w:cs="宋体"/>
          <w:sz w:val="24"/>
          <w:szCs w:val="24"/>
        </w:rPr>
        <w:t>3.确保系统安全。需及时修复漏洞扫描和安全审计所发现安全漏洞，增强系统安全性。</w:t>
      </w:r>
    </w:p>
    <w:p>
      <w:pPr>
        <w:spacing w:line="360" w:lineRule="auto"/>
        <w:rPr>
          <w:rFonts w:hint="eastAsia" w:ascii="宋体" w:hAnsi="宋体" w:cs="宋体"/>
          <w:sz w:val="24"/>
          <w:szCs w:val="24"/>
        </w:rPr>
      </w:pPr>
      <w:r>
        <w:rPr>
          <w:rFonts w:hint="eastAsia" w:ascii="宋体" w:hAnsi="宋体" w:cs="宋体"/>
          <w:sz w:val="24"/>
          <w:szCs w:val="24"/>
        </w:rPr>
        <w:t>4.确保数据正常采集。需监控企业数据对接过程中的采集、传输或入库流程，如发现异常需及时进行处置，以确保数据正常采集。</w:t>
      </w:r>
    </w:p>
    <w:p>
      <w:pPr>
        <w:spacing w:line="360" w:lineRule="auto"/>
        <w:rPr>
          <w:rFonts w:hint="eastAsia" w:ascii="宋体" w:hAnsi="宋体" w:cs="宋体"/>
          <w:sz w:val="24"/>
          <w:szCs w:val="24"/>
        </w:rPr>
      </w:pPr>
      <w:r>
        <w:rPr>
          <w:rFonts w:hint="eastAsia" w:ascii="宋体" w:hAnsi="宋体" w:cs="宋体"/>
          <w:sz w:val="24"/>
          <w:szCs w:val="24"/>
        </w:rPr>
        <w:t>5.确保数据准确。需对企业数据问题进行分析、排查，协助企业修复数据问题，确保所采集的企业数据准确。</w:t>
      </w:r>
    </w:p>
    <w:p>
      <w:pPr>
        <w:spacing w:line="360" w:lineRule="auto"/>
        <w:rPr>
          <w:rFonts w:hint="eastAsia" w:ascii="宋体" w:hAnsi="宋体" w:cs="宋体"/>
          <w:sz w:val="24"/>
          <w:szCs w:val="24"/>
        </w:rPr>
      </w:pPr>
      <w:r>
        <w:rPr>
          <w:rFonts w:hint="eastAsia" w:ascii="宋体" w:hAnsi="宋体" w:cs="宋体"/>
          <w:sz w:val="24"/>
          <w:szCs w:val="24"/>
        </w:rPr>
        <w:t>（二）可行性。</w:t>
      </w:r>
    </w:p>
    <w:p>
      <w:pPr>
        <w:spacing w:line="360" w:lineRule="auto"/>
        <w:rPr>
          <w:rFonts w:hint="eastAsia" w:ascii="宋体" w:hAnsi="宋体" w:cs="宋体"/>
          <w:sz w:val="24"/>
          <w:szCs w:val="24"/>
        </w:rPr>
      </w:pPr>
      <w:r>
        <w:rPr>
          <w:rFonts w:hint="eastAsia" w:ascii="宋体" w:hAnsi="宋体" w:cs="宋体"/>
          <w:sz w:val="24"/>
          <w:szCs w:val="24"/>
        </w:rPr>
        <w:t>1.业务可行。运维对象、目标、活动明确，将运维服务工作进行采购，可明确约定运维需求，业务方面可行。</w:t>
      </w:r>
    </w:p>
    <w:p>
      <w:pPr>
        <w:spacing w:line="360" w:lineRule="auto"/>
        <w:rPr>
          <w:rFonts w:hint="eastAsia" w:ascii="宋体" w:hAnsi="宋体" w:cs="宋体"/>
          <w:sz w:val="24"/>
          <w:szCs w:val="24"/>
        </w:rPr>
      </w:pPr>
      <w:r>
        <w:rPr>
          <w:rFonts w:hint="eastAsia" w:ascii="宋体" w:hAnsi="宋体" w:cs="宋体"/>
          <w:sz w:val="24"/>
          <w:szCs w:val="24"/>
        </w:rPr>
        <w:t>2.资源可行。对于运维服务工作所需提供的网络、系统环境及授权账号，可根据相关运维规定，开通网络，授权登录系统环境，以及授予运维账号，资源支持方面可行。</w:t>
      </w:r>
    </w:p>
    <w:p>
      <w:pPr>
        <w:spacing w:line="360" w:lineRule="auto"/>
        <w:rPr>
          <w:rFonts w:hint="eastAsia" w:ascii="宋体" w:hAnsi="宋体" w:cs="宋体"/>
          <w:b/>
          <w:bCs/>
          <w:sz w:val="24"/>
          <w:szCs w:val="24"/>
        </w:rPr>
      </w:pPr>
      <w:r>
        <w:rPr>
          <w:rFonts w:hint="eastAsia" w:ascii="宋体" w:hAnsi="宋体" w:cs="宋体"/>
          <w:b/>
          <w:bCs/>
          <w:sz w:val="24"/>
          <w:szCs w:val="24"/>
        </w:rPr>
        <w:t>二、项目内容</w:t>
      </w:r>
    </w:p>
    <w:p>
      <w:pPr>
        <w:spacing w:line="360" w:lineRule="auto"/>
        <w:rPr>
          <w:rFonts w:hint="eastAsia" w:ascii="宋体" w:hAnsi="宋体" w:cs="宋体"/>
          <w:sz w:val="24"/>
          <w:szCs w:val="24"/>
        </w:rPr>
      </w:pPr>
      <w:r>
        <w:rPr>
          <w:rFonts w:hint="eastAsia" w:ascii="宋体" w:hAnsi="宋体" w:cs="宋体"/>
          <w:sz w:val="24"/>
          <w:szCs w:val="24"/>
        </w:rPr>
        <w:t>（一）运维服务范围。</w:t>
      </w:r>
    </w:p>
    <w:p>
      <w:pPr>
        <w:spacing w:line="360" w:lineRule="auto"/>
        <w:rPr>
          <w:rFonts w:hint="eastAsia" w:ascii="宋体" w:hAnsi="宋体" w:cs="宋体"/>
          <w:sz w:val="24"/>
          <w:szCs w:val="24"/>
        </w:rPr>
      </w:pPr>
      <w:r>
        <w:rPr>
          <w:rFonts w:hint="eastAsia" w:ascii="宋体" w:hAnsi="宋体" w:cs="宋体"/>
          <w:sz w:val="24"/>
          <w:szCs w:val="24"/>
        </w:rPr>
        <w:t>1.系统运维。</w:t>
      </w:r>
    </w:p>
    <w:p>
      <w:pPr>
        <w:spacing w:line="360" w:lineRule="auto"/>
        <w:rPr>
          <w:rFonts w:hint="eastAsia" w:ascii="宋体" w:hAnsi="宋体" w:cs="宋体"/>
          <w:sz w:val="24"/>
          <w:szCs w:val="24"/>
        </w:rPr>
      </w:pPr>
      <w:r>
        <w:rPr>
          <w:rFonts w:hint="eastAsia" w:ascii="宋体" w:hAnsi="宋体" w:cs="宋体"/>
          <w:sz w:val="24"/>
          <w:szCs w:val="24"/>
        </w:rPr>
        <w:t>“互联网+稽核查应用”项目建设的系统运维，包括：企业采数客户端、企业对接智能化实施平台、外网端监控模块、稽核查应用模块。</w:t>
      </w:r>
    </w:p>
    <w:p>
      <w:pPr>
        <w:spacing w:line="360" w:lineRule="auto"/>
        <w:rPr>
          <w:rFonts w:hint="eastAsia" w:ascii="宋体" w:hAnsi="宋体" w:cs="宋体"/>
          <w:sz w:val="24"/>
          <w:szCs w:val="24"/>
        </w:rPr>
      </w:pPr>
      <w:r>
        <w:rPr>
          <w:rFonts w:hint="eastAsia" w:ascii="宋体" w:hAnsi="宋体" w:cs="宋体"/>
          <w:sz w:val="24"/>
          <w:szCs w:val="24"/>
        </w:rPr>
        <w:t>2.对接企业数据运维。</w:t>
      </w:r>
    </w:p>
    <w:p>
      <w:pPr>
        <w:spacing w:line="360" w:lineRule="auto"/>
        <w:rPr>
          <w:rFonts w:hint="eastAsia" w:ascii="宋体" w:hAnsi="宋体" w:cs="宋体"/>
          <w:sz w:val="24"/>
          <w:szCs w:val="24"/>
        </w:rPr>
      </w:pPr>
      <w:r>
        <w:rPr>
          <w:rFonts w:hint="eastAsia" w:ascii="宋体" w:hAnsi="宋体" w:cs="宋体"/>
          <w:sz w:val="24"/>
          <w:szCs w:val="24"/>
        </w:rPr>
        <w:t>“互联网+稽核查应用”项目对接的企业数据运维。</w:t>
      </w:r>
    </w:p>
    <w:p>
      <w:pPr>
        <w:spacing w:line="360" w:lineRule="auto"/>
        <w:rPr>
          <w:rFonts w:hint="eastAsia" w:ascii="宋体" w:hAnsi="宋体" w:cs="宋体"/>
          <w:sz w:val="24"/>
          <w:szCs w:val="24"/>
        </w:rPr>
      </w:pPr>
      <w:r>
        <w:rPr>
          <w:rFonts w:hint="eastAsia" w:ascii="宋体" w:hAnsi="宋体" w:cs="宋体"/>
          <w:sz w:val="24"/>
          <w:szCs w:val="24"/>
        </w:rPr>
        <w:t>3.技术培训服务。</w:t>
      </w:r>
    </w:p>
    <w:p>
      <w:pPr>
        <w:spacing w:line="360" w:lineRule="auto"/>
        <w:rPr>
          <w:rFonts w:hint="eastAsia" w:ascii="宋体" w:hAnsi="宋体" w:cs="宋体"/>
          <w:sz w:val="24"/>
          <w:szCs w:val="24"/>
        </w:rPr>
      </w:pPr>
      <w:r>
        <w:rPr>
          <w:rFonts w:hint="eastAsia" w:ascii="宋体" w:hAnsi="宋体" w:cs="宋体"/>
          <w:sz w:val="24"/>
          <w:szCs w:val="24"/>
        </w:rPr>
        <w:t>根据甲方安排面向全国试点海关集中开展不少于2次技术培训。培训通过线上方式或在深圳线下开展，每次培训时长不少于2小时。</w:t>
      </w:r>
    </w:p>
    <w:p>
      <w:pPr>
        <w:spacing w:line="360" w:lineRule="auto"/>
        <w:rPr>
          <w:rFonts w:hint="eastAsia" w:ascii="宋体" w:hAnsi="宋体" w:cs="宋体"/>
          <w:sz w:val="24"/>
          <w:szCs w:val="24"/>
        </w:rPr>
      </w:pPr>
      <w:r>
        <w:rPr>
          <w:rFonts w:hint="eastAsia" w:ascii="宋体" w:hAnsi="宋体" w:cs="宋体"/>
          <w:sz w:val="24"/>
          <w:szCs w:val="24"/>
        </w:rPr>
        <w:t>（二）运维服务内容。</w:t>
      </w:r>
    </w:p>
    <w:p>
      <w:pPr>
        <w:spacing w:line="360" w:lineRule="auto"/>
        <w:rPr>
          <w:rFonts w:hint="eastAsia" w:ascii="宋体" w:hAnsi="宋体" w:cs="宋体"/>
          <w:sz w:val="24"/>
          <w:szCs w:val="24"/>
        </w:rPr>
      </w:pPr>
      <w:r>
        <w:rPr>
          <w:rFonts w:hint="eastAsia" w:ascii="宋体" w:hAnsi="宋体" w:cs="宋体"/>
          <w:sz w:val="24"/>
          <w:szCs w:val="24"/>
        </w:rPr>
        <w:t>1.系统运维。</w:t>
      </w:r>
    </w:p>
    <w:p>
      <w:pPr>
        <w:spacing w:line="360" w:lineRule="auto"/>
        <w:rPr>
          <w:rFonts w:hint="eastAsia" w:ascii="宋体" w:hAnsi="宋体" w:cs="宋体"/>
          <w:sz w:val="24"/>
          <w:szCs w:val="24"/>
        </w:rPr>
      </w:pPr>
      <w:r>
        <w:rPr>
          <w:rFonts w:hint="eastAsia" w:ascii="宋体" w:hAnsi="宋体" w:cs="宋体"/>
          <w:sz w:val="24"/>
          <w:szCs w:val="24"/>
        </w:rPr>
        <w:t>运维系统包括“互联网+稽核查应用”的4个模块：企业采数客户端、企业对接智能化实施平台、外网端监控模块、稽核查应用模块。</w:t>
      </w:r>
    </w:p>
    <w:p>
      <w:pPr>
        <w:spacing w:line="360" w:lineRule="auto"/>
        <w:rPr>
          <w:rFonts w:hint="eastAsia" w:ascii="宋体" w:hAnsi="宋体" w:cs="宋体"/>
          <w:sz w:val="24"/>
          <w:szCs w:val="24"/>
        </w:rPr>
      </w:pPr>
      <w:r>
        <w:rPr>
          <w:rFonts w:hint="eastAsia" w:ascii="宋体" w:hAnsi="宋体" w:cs="宋体"/>
          <w:sz w:val="24"/>
          <w:szCs w:val="24"/>
        </w:rPr>
        <w:t>企业采数客户端：安装在企业的前置机或服务器上的工具，用于采集企业系统数据，包括采数标准表配置、采集日志及配置文件查询等功能。</w:t>
      </w:r>
    </w:p>
    <w:p>
      <w:pPr>
        <w:spacing w:line="360" w:lineRule="auto"/>
        <w:rPr>
          <w:rFonts w:hint="eastAsia" w:ascii="宋体" w:hAnsi="宋体" w:cs="宋体"/>
          <w:sz w:val="24"/>
          <w:szCs w:val="24"/>
        </w:rPr>
      </w:pPr>
      <w:r>
        <w:rPr>
          <w:rFonts w:hint="eastAsia" w:ascii="宋体" w:hAnsi="宋体" w:cs="宋体"/>
          <w:sz w:val="24"/>
          <w:szCs w:val="24"/>
        </w:rPr>
        <w:t>企业对接智能化实施平台：用于企业对接流程的线上化申请、管理、脚本配置、测试及生产验收流程管理，包括对接申请、对接准备、对接实施、对接验收各流程功能。</w:t>
      </w:r>
    </w:p>
    <w:p>
      <w:pPr>
        <w:spacing w:line="360" w:lineRule="auto"/>
        <w:rPr>
          <w:rFonts w:hint="eastAsia" w:ascii="宋体" w:hAnsi="宋体" w:cs="宋体"/>
          <w:sz w:val="24"/>
          <w:szCs w:val="24"/>
        </w:rPr>
      </w:pPr>
      <w:r>
        <w:rPr>
          <w:rFonts w:hint="eastAsia" w:ascii="宋体" w:hAnsi="宋体" w:cs="宋体"/>
          <w:sz w:val="24"/>
          <w:szCs w:val="24"/>
        </w:rPr>
        <w:t>外网端监控模块：用于企业数据采集的管理、监控系统，包括已对接企业管理、采集任务配置、采集信息查询、采集异常情况监控等功能。</w:t>
      </w:r>
    </w:p>
    <w:p>
      <w:pPr>
        <w:spacing w:line="360" w:lineRule="auto"/>
        <w:rPr>
          <w:rFonts w:hint="eastAsia" w:ascii="宋体" w:hAnsi="宋体" w:cs="宋体"/>
          <w:sz w:val="24"/>
          <w:szCs w:val="24"/>
        </w:rPr>
      </w:pPr>
      <w:r>
        <w:rPr>
          <w:rFonts w:hint="eastAsia" w:ascii="宋体" w:hAnsi="宋体" w:cs="宋体"/>
          <w:sz w:val="24"/>
          <w:szCs w:val="24"/>
        </w:rPr>
        <w:t>稽核查应用模块：基于企业采集数据进行业务应用的系统，包括企业对接数据查询、海关数据查询、监控指标、稽核查作业等功能。</w:t>
      </w:r>
    </w:p>
    <w:p>
      <w:pPr>
        <w:spacing w:line="360" w:lineRule="auto"/>
        <w:rPr>
          <w:rFonts w:hint="eastAsia" w:ascii="宋体" w:hAnsi="宋体" w:cs="宋体"/>
          <w:sz w:val="24"/>
          <w:szCs w:val="24"/>
        </w:rPr>
      </w:pPr>
      <w:r>
        <w:rPr>
          <w:rFonts w:hint="eastAsia" w:ascii="宋体" w:hAnsi="宋体" w:cs="宋体"/>
          <w:sz w:val="24"/>
          <w:szCs w:val="24"/>
        </w:rPr>
        <w:t>具体运维服务内容如下：</w:t>
      </w:r>
    </w:p>
    <w:p>
      <w:pPr>
        <w:spacing w:line="360" w:lineRule="auto"/>
        <w:rPr>
          <w:rFonts w:hint="eastAsia" w:ascii="宋体" w:hAnsi="宋体" w:cs="宋体"/>
          <w:sz w:val="24"/>
          <w:szCs w:val="24"/>
        </w:rPr>
      </w:pPr>
      <w:r>
        <w:rPr>
          <w:rFonts w:hint="eastAsia" w:ascii="宋体" w:hAnsi="宋体" w:cs="宋体"/>
          <w:sz w:val="24"/>
          <w:szCs w:val="24"/>
        </w:rPr>
        <w:t>（1）持续改进</w:t>
      </w:r>
    </w:p>
    <w:p>
      <w:pPr>
        <w:spacing w:line="360" w:lineRule="auto"/>
        <w:rPr>
          <w:rFonts w:hint="eastAsia" w:ascii="宋体" w:hAnsi="宋体" w:cs="宋体"/>
          <w:sz w:val="24"/>
          <w:szCs w:val="24"/>
        </w:rPr>
      </w:pPr>
      <w:r>
        <w:rPr>
          <w:rFonts w:hint="eastAsia" w:ascii="宋体" w:hAnsi="宋体" w:cs="宋体"/>
          <w:sz w:val="24"/>
          <w:szCs w:val="24"/>
        </w:rPr>
        <w:t>1）配置优化：在软件使用中，随着业务实际特性变化，需要对相关的业务功能配置进行优化等。</w:t>
      </w:r>
    </w:p>
    <w:p>
      <w:pPr>
        <w:spacing w:line="360" w:lineRule="auto"/>
        <w:rPr>
          <w:rFonts w:hint="eastAsia" w:ascii="宋体" w:hAnsi="宋体" w:cs="宋体"/>
          <w:sz w:val="24"/>
          <w:szCs w:val="24"/>
        </w:rPr>
      </w:pPr>
      <w:r>
        <w:rPr>
          <w:rFonts w:hint="eastAsia" w:ascii="宋体" w:hAnsi="宋体" w:cs="宋体"/>
          <w:sz w:val="24"/>
          <w:szCs w:val="24"/>
        </w:rPr>
        <w:t>2）缺陷修复: 修复软件使用中出现的问题，功能缺陷等（不包含新功能实现）。</w:t>
      </w:r>
    </w:p>
    <w:p>
      <w:pPr>
        <w:spacing w:line="360" w:lineRule="auto"/>
        <w:rPr>
          <w:rFonts w:hint="eastAsia" w:ascii="宋体" w:hAnsi="宋体" w:cs="宋体"/>
          <w:sz w:val="24"/>
          <w:szCs w:val="24"/>
        </w:rPr>
      </w:pPr>
      <w:r>
        <w:rPr>
          <w:rFonts w:hint="eastAsia" w:ascii="宋体" w:hAnsi="宋体" w:cs="宋体"/>
          <w:sz w:val="24"/>
          <w:szCs w:val="24"/>
        </w:rPr>
        <w:t>（2）问题解析</w:t>
      </w:r>
    </w:p>
    <w:p>
      <w:pPr>
        <w:spacing w:line="360" w:lineRule="auto"/>
        <w:rPr>
          <w:rFonts w:hint="eastAsia" w:ascii="宋体" w:hAnsi="宋体" w:cs="宋体"/>
          <w:sz w:val="24"/>
          <w:szCs w:val="24"/>
        </w:rPr>
      </w:pPr>
      <w:r>
        <w:rPr>
          <w:rFonts w:hint="eastAsia" w:ascii="宋体" w:hAnsi="宋体" w:cs="宋体"/>
          <w:sz w:val="24"/>
          <w:szCs w:val="24"/>
        </w:rPr>
        <w:t>1）故障诊断：诊断软件故障并提供处理建议，保障软件正常使用。</w:t>
      </w:r>
    </w:p>
    <w:p>
      <w:pPr>
        <w:spacing w:line="360" w:lineRule="auto"/>
        <w:rPr>
          <w:rFonts w:hint="eastAsia" w:ascii="宋体" w:hAnsi="宋体" w:cs="宋体"/>
          <w:sz w:val="24"/>
          <w:szCs w:val="24"/>
        </w:rPr>
      </w:pPr>
      <w:r>
        <w:rPr>
          <w:rFonts w:hint="eastAsia" w:ascii="宋体" w:hAnsi="宋体" w:cs="宋体"/>
          <w:sz w:val="24"/>
          <w:szCs w:val="24"/>
        </w:rPr>
        <w:t>2）应用指导：指导甲方进行软件设置、功能操作（不包含业务流程实现），提升软件应用能力。</w:t>
      </w:r>
    </w:p>
    <w:p>
      <w:pPr>
        <w:spacing w:line="360" w:lineRule="auto"/>
        <w:rPr>
          <w:rFonts w:hint="eastAsia" w:ascii="宋体" w:hAnsi="宋体" w:cs="宋体"/>
          <w:sz w:val="24"/>
          <w:szCs w:val="24"/>
        </w:rPr>
      </w:pPr>
      <w:r>
        <w:rPr>
          <w:rFonts w:hint="eastAsia" w:ascii="宋体" w:hAnsi="宋体" w:cs="宋体"/>
          <w:sz w:val="24"/>
          <w:szCs w:val="24"/>
        </w:rPr>
        <w:t>3）数据处理：查找并修正数据错误，保障数据安全（仅限系统数据错误，不包含升级迁移、系统巡检、性能等专项服务内容）。</w:t>
      </w:r>
    </w:p>
    <w:p>
      <w:pPr>
        <w:spacing w:line="360" w:lineRule="auto"/>
        <w:rPr>
          <w:rFonts w:hint="eastAsia" w:ascii="宋体" w:hAnsi="宋体" w:cs="宋体"/>
          <w:sz w:val="24"/>
          <w:szCs w:val="24"/>
        </w:rPr>
      </w:pPr>
      <w:r>
        <w:rPr>
          <w:rFonts w:hint="eastAsia" w:ascii="宋体" w:hAnsi="宋体" w:cs="宋体"/>
          <w:sz w:val="24"/>
          <w:szCs w:val="24"/>
        </w:rPr>
        <w:t>（3）质量管理</w:t>
      </w:r>
    </w:p>
    <w:p>
      <w:pPr>
        <w:spacing w:line="360" w:lineRule="auto"/>
        <w:rPr>
          <w:rFonts w:hint="eastAsia" w:ascii="宋体" w:hAnsi="宋体" w:cs="宋体"/>
          <w:sz w:val="24"/>
          <w:szCs w:val="24"/>
        </w:rPr>
      </w:pPr>
      <w:r>
        <w:rPr>
          <w:rFonts w:hint="eastAsia" w:ascii="宋体" w:hAnsi="宋体" w:cs="宋体"/>
          <w:sz w:val="24"/>
          <w:szCs w:val="24"/>
        </w:rPr>
        <w:t>根据漏洞扫描和安全审计，及时修补系统中存在的安全漏洞（仅限于定制开发服务的软件漏洞）。</w:t>
      </w:r>
    </w:p>
    <w:p>
      <w:pPr>
        <w:spacing w:line="360" w:lineRule="auto"/>
        <w:rPr>
          <w:rFonts w:hint="eastAsia" w:ascii="宋体" w:hAnsi="宋体" w:cs="宋体"/>
          <w:sz w:val="24"/>
          <w:szCs w:val="24"/>
        </w:rPr>
      </w:pPr>
      <w:r>
        <w:rPr>
          <w:rFonts w:hint="eastAsia" w:ascii="宋体" w:hAnsi="宋体" w:cs="宋体"/>
          <w:sz w:val="24"/>
          <w:szCs w:val="24"/>
        </w:rPr>
        <w:t>（4）版本管理与发布</w:t>
      </w:r>
    </w:p>
    <w:p>
      <w:pPr>
        <w:spacing w:line="360" w:lineRule="auto"/>
        <w:rPr>
          <w:rFonts w:hint="eastAsia" w:ascii="宋体" w:hAnsi="宋体" w:cs="宋体"/>
          <w:sz w:val="24"/>
          <w:szCs w:val="24"/>
        </w:rPr>
      </w:pPr>
      <w:r>
        <w:rPr>
          <w:rFonts w:hint="eastAsia" w:ascii="宋体" w:hAnsi="宋体" w:cs="宋体"/>
          <w:sz w:val="24"/>
          <w:szCs w:val="24"/>
        </w:rPr>
        <w:t>1）版本管理：对漏洞及缺陷修复进行分支管理，规划版本。</w:t>
      </w:r>
    </w:p>
    <w:p>
      <w:pPr>
        <w:spacing w:line="360" w:lineRule="auto"/>
        <w:rPr>
          <w:rFonts w:hint="eastAsia" w:ascii="宋体" w:hAnsi="宋体" w:cs="宋体"/>
          <w:sz w:val="24"/>
          <w:szCs w:val="24"/>
        </w:rPr>
      </w:pPr>
      <w:r>
        <w:rPr>
          <w:rFonts w:hint="eastAsia" w:ascii="宋体" w:hAnsi="宋体" w:cs="宋体"/>
          <w:sz w:val="24"/>
          <w:szCs w:val="24"/>
        </w:rPr>
        <w:t>2）版本发布：提交代码、测试报告、部署文档，协助海关技术部门进行部署。</w:t>
      </w:r>
    </w:p>
    <w:p>
      <w:pPr>
        <w:spacing w:line="360" w:lineRule="auto"/>
        <w:rPr>
          <w:rFonts w:hint="eastAsia" w:ascii="宋体" w:hAnsi="宋体" w:cs="宋体"/>
          <w:sz w:val="24"/>
          <w:szCs w:val="24"/>
        </w:rPr>
      </w:pPr>
      <w:r>
        <w:rPr>
          <w:rFonts w:hint="eastAsia" w:ascii="宋体" w:hAnsi="宋体" w:cs="宋体"/>
          <w:sz w:val="24"/>
          <w:szCs w:val="24"/>
        </w:rPr>
        <w:t>3）生产验证：对修复的功能进行生产验证，确保发布结果。</w:t>
      </w:r>
    </w:p>
    <w:p>
      <w:pPr>
        <w:spacing w:line="360" w:lineRule="auto"/>
        <w:rPr>
          <w:rFonts w:hint="eastAsia" w:ascii="宋体" w:hAnsi="宋体" w:cs="宋体"/>
          <w:sz w:val="24"/>
          <w:szCs w:val="24"/>
        </w:rPr>
      </w:pPr>
      <w:r>
        <w:rPr>
          <w:rFonts w:hint="eastAsia" w:ascii="宋体" w:hAnsi="宋体" w:cs="宋体"/>
          <w:sz w:val="24"/>
          <w:szCs w:val="24"/>
        </w:rPr>
        <w:t>（5）日常检查与定期巡检</w:t>
      </w:r>
    </w:p>
    <w:p>
      <w:pPr>
        <w:spacing w:line="360" w:lineRule="auto"/>
        <w:rPr>
          <w:rFonts w:hint="eastAsia" w:ascii="宋体" w:hAnsi="宋体" w:cs="宋体"/>
          <w:sz w:val="24"/>
          <w:szCs w:val="24"/>
        </w:rPr>
      </w:pPr>
      <w:r>
        <w:rPr>
          <w:rFonts w:hint="eastAsia" w:ascii="宋体" w:hAnsi="宋体" w:cs="宋体"/>
          <w:sz w:val="24"/>
          <w:szCs w:val="24"/>
        </w:rPr>
        <w:t>1）巡检内容：操作系统的磁盘、内存、CPU、硬盘读写情况；服务器系统、应用系统日志；采集的企业数据归档备份情况；内外网数据传输情况。形成巡检报告。</w:t>
      </w:r>
    </w:p>
    <w:p>
      <w:pPr>
        <w:spacing w:line="360" w:lineRule="auto"/>
        <w:rPr>
          <w:rFonts w:hint="eastAsia" w:ascii="宋体" w:hAnsi="宋体" w:cs="宋体"/>
          <w:sz w:val="24"/>
          <w:szCs w:val="24"/>
        </w:rPr>
      </w:pPr>
      <w:r>
        <w:rPr>
          <w:rFonts w:hint="eastAsia" w:ascii="宋体" w:hAnsi="宋体" w:cs="宋体"/>
          <w:sz w:val="24"/>
          <w:szCs w:val="24"/>
        </w:rPr>
        <w:t>2）巡检周期：每半个月例行检查一次，或重大节假日及重要事件节点前。</w:t>
      </w:r>
    </w:p>
    <w:p>
      <w:pPr>
        <w:spacing w:line="360" w:lineRule="auto"/>
        <w:rPr>
          <w:rFonts w:hint="eastAsia" w:ascii="宋体" w:hAnsi="宋体" w:cs="宋体"/>
          <w:sz w:val="24"/>
          <w:szCs w:val="24"/>
        </w:rPr>
      </w:pPr>
      <w:r>
        <w:rPr>
          <w:rFonts w:hint="eastAsia" w:ascii="宋体" w:hAnsi="宋体" w:cs="宋体"/>
          <w:sz w:val="24"/>
          <w:szCs w:val="24"/>
        </w:rPr>
        <w:t>（6）运维汇报</w:t>
      </w:r>
    </w:p>
    <w:p>
      <w:pPr>
        <w:spacing w:line="360" w:lineRule="auto"/>
        <w:rPr>
          <w:rFonts w:hint="eastAsia" w:ascii="宋体" w:hAnsi="宋体" w:cs="宋体"/>
          <w:sz w:val="24"/>
          <w:szCs w:val="24"/>
        </w:rPr>
      </w:pPr>
      <w:r>
        <w:rPr>
          <w:rFonts w:hint="eastAsia" w:ascii="宋体" w:hAnsi="宋体" w:cs="宋体"/>
          <w:sz w:val="24"/>
          <w:szCs w:val="24"/>
        </w:rPr>
        <w:t>每半个月进行整体运维情况的汇报，形成汇报机制，提交汇报材料。</w:t>
      </w:r>
    </w:p>
    <w:p>
      <w:pPr>
        <w:spacing w:line="360" w:lineRule="auto"/>
        <w:rPr>
          <w:rFonts w:hint="eastAsia" w:ascii="宋体" w:hAnsi="宋体" w:cs="宋体"/>
          <w:sz w:val="24"/>
          <w:szCs w:val="24"/>
        </w:rPr>
      </w:pPr>
      <w:r>
        <w:rPr>
          <w:rFonts w:hint="eastAsia" w:ascii="宋体" w:hAnsi="宋体" w:cs="宋体"/>
          <w:sz w:val="24"/>
          <w:szCs w:val="24"/>
        </w:rPr>
        <w:t>2.企业对接运维。</w:t>
      </w:r>
    </w:p>
    <w:p>
      <w:pPr>
        <w:spacing w:line="360" w:lineRule="auto"/>
        <w:rPr>
          <w:rFonts w:hint="eastAsia" w:ascii="宋体" w:hAnsi="宋体" w:cs="宋体"/>
          <w:sz w:val="24"/>
          <w:szCs w:val="24"/>
        </w:rPr>
      </w:pPr>
      <w:r>
        <w:rPr>
          <w:rFonts w:hint="eastAsia" w:ascii="宋体" w:hAnsi="宋体" w:cs="宋体"/>
          <w:sz w:val="24"/>
          <w:szCs w:val="24"/>
        </w:rPr>
        <w:t>（1）已对接企业巡检</w:t>
      </w:r>
    </w:p>
    <w:p>
      <w:pPr>
        <w:spacing w:line="360" w:lineRule="auto"/>
        <w:rPr>
          <w:rFonts w:hint="eastAsia" w:ascii="宋体" w:hAnsi="宋体" w:cs="宋体"/>
          <w:sz w:val="24"/>
          <w:szCs w:val="24"/>
        </w:rPr>
      </w:pPr>
      <w:r>
        <w:rPr>
          <w:rFonts w:hint="eastAsia" w:ascii="宋体" w:hAnsi="宋体" w:cs="宋体"/>
          <w:sz w:val="24"/>
          <w:szCs w:val="24"/>
        </w:rPr>
        <w:t>1）企业数据入库巡检：工作日定时进入监控系统查看企业数据入库情况，记录数据入库异常情况并及时分析解决。</w:t>
      </w:r>
    </w:p>
    <w:p>
      <w:pPr>
        <w:spacing w:line="360" w:lineRule="auto"/>
        <w:rPr>
          <w:rFonts w:hint="eastAsia" w:ascii="宋体" w:hAnsi="宋体" w:cs="宋体"/>
          <w:sz w:val="24"/>
          <w:szCs w:val="24"/>
        </w:rPr>
      </w:pPr>
      <w:r>
        <w:rPr>
          <w:rFonts w:hint="eastAsia" w:ascii="宋体" w:hAnsi="宋体" w:cs="宋体"/>
          <w:sz w:val="24"/>
          <w:szCs w:val="24"/>
        </w:rPr>
        <w:t>2）企业客户端巡检：工作日定时进入监控模块查看企业客户端的各指标状态，记录异常情况并上报处理问题。</w:t>
      </w:r>
    </w:p>
    <w:p>
      <w:pPr>
        <w:spacing w:line="360" w:lineRule="auto"/>
        <w:rPr>
          <w:rFonts w:hint="eastAsia" w:ascii="宋体" w:hAnsi="宋体" w:cs="宋体"/>
          <w:sz w:val="24"/>
          <w:szCs w:val="24"/>
        </w:rPr>
      </w:pPr>
      <w:r>
        <w:rPr>
          <w:rFonts w:hint="eastAsia" w:ascii="宋体" w:hAnsi="宋体" w:cs="宋体"/>
          <w:sz w:val="24"/>
          <w:szCs w:val="24"/>
        </w:rPr>
        <w:t>3）网络巡检：实时监控网络运行状况。</w:t>
      </w:r>
    </w:p>
    <w:p>
      <w:pPr>
        <w:spacing w:line="360" w:lineRule="auto"/>
        <w:rPr>
          <w:rFonts w:hint="eastAsia" w:ascii="宋体" w:hAnsi="宋体" w:cs="宋体"/>
          <w:sz w:val="24"/>
          <w:szCs w:val="24"/>
        </w:rPr>
      </w:pPr>
      <w:r>
        <w:rPr>
          <w:rFonts w:hint="eastAsia" w:ascii="宋体" w:hAnsi="宋体" w:cs="宋体"/>
          <w:sz w:val="24"/>
          <w:szCs w:val="24"/>
        </w:rPr>
        <w:t>4）分析采数客户端及日志，解决数据采集异常问题。</w:t>
      </w:r>
    </w:p>
    <w:p>
      <w:pPr>
        <w:spacing w:line="360" w:lineRule="auto"/>
        <w:rPr>
          <w:rFonts w:hint="eastAsia" w:ascii="宋体" w:hAnsi="宋体" w:cs="宋体"/>
          <w:sz w:val="24"/>
          <w:szCs w:val="24"/>
        </w:rPr>
      </w:pPr>
      <w:r>
        <w:rPr>
          <w:rFonts w:hint="eastAsia" w:ascii="宋体" w:hAnsi="宋体" w:cs="宋体"/>
          <w:sz w:val="24"/>
          <w:szCs w:val="24"/>
        </w:rPr>
        <w:t>5）检查配置权限和定时采集任务。</w:t>
      </w:r>
    </w:p>
    <w:p>
      <w:pPr>
        <w:spacing w:line="360" w:lineRule="auto"/>
        <w:rPr>
          <w:rFonts w:hint="eastAsia" w:ascii="宋体" w:hAnsi="宋体" w:cs="宋体"/>
          <w:sz w:val="24"/>
          <w:szCs w:val="24"/>
        </w:rPr>
      </w:pPr>
      <w:r>
        <w:rPr>
          <w:rFonts w:hint="eastAsia" w:ascii="宋体" w:hAnsi="宋体" w:cs="宋体"/>
          <w:sz w:val="24"/>
          <w:szCs w:val="24"/>
        </w:rPr>
        <w:t>（2）数据问题处理</w:t>
      </w:r>
    </w:p>
    <w:p>
      <w:pPr>
        <w:spacing w:line="360" w:lineRule="auto"/>
        <w:rPr>
          <w:rFonts w:hint="eastAsia" w:ascii="宋体" w:hAnsi="宋体" w:cs="宋体"/>
          <w:sz w:val="24"/>
          <w:szCs w:val="24"/>
        </w:rPr>
      </w:pPr>
      <w:r>
        <w:rPr>
          <w:rFonts w:hint="eastAsia" w:ascii="宋体" w:hAnsi="宋体" w:cs="宋体"/>
          <w:sz w:val="24"/>
          <w:szCs w:val="24"/>
        </w:rPr>
        <w:t>1）当发现采集的企业数据有问题时，登记问题清单。如是海关端问题，则协助海关进行数据问题排查；如是企业端问题，反馈企业所属海关协调企业排查解决。</w:t>
      </w:r>
    </w:p>
    <w:p>
      <w:pPr>
        <w:spacing w:line="360" w:lineRule="auto"/>
        <w:rPr>
          <w:rFonts w:hint="eastAsia" w:ascii="宋体" w:hAnsi="宋体" w:cs="宋体"/>
          <w:sz w:val="24"/>
          <w:szCs w:val="24"/>
        </w:rPr>
      </w:pPr>
      <w:r>
        <w:rPr>
          <w:rFonts w:hint="eastAsia" w:ascii="宋体" w:hAnsi="宋体" w:cs="宋体"/>
          <w:sz w:val="24"/>
          <w:szCs w:val="24"/>
        </w:rPr>
        <w:t>2）对企业数据入库后在系统层面展示出现的异常状况，登记问题清单并进行企业数据层面的排查及分析问题原因。</w:t>
      </w:r>
    </w:p>
    <w:p>
      <w:pPr>
        <w:spacing w:line="360" w:lineRule="auto"/>
        <w:rPr>
          <w:rFonts w:hint="eastAsia" w:ascii="宋体" w:hAnsi="宋体" w:cs="宋体"/>
          <w:sz w:val="24"/>
          <w:szCs w:val="24"/>
        </w:rPr>
      </w:pPr>
      <w:r>
        <w:rPr>
          <w:rFonts w:hint="eastAsia" w:ascii="宋体" w:hAnsi="宋体" w:cs="宋体"/>
          <w:sz w:val="24"/>
          <w:szCs w:val="24"/>
        </w:rPr>
        <w:t>（3）运维汇报</w:t>
      </w:r>
    </w:p>
    <w:p>
      <w:pPr>
        <w:spacing w:line="360" w:lineRule="auto"/>
        <w:rPr>
          <w:rFonts w:hint="eastAsia" w:ascii="宋体" w:hAnsi="宋体" w:cs="宋体"/>
          <w:sz w:val="24"/>
          <w:szCs w:val="24"/>
        </w:rPr>
      </w:pPr>
      <w:r>
        <w:rPr>
          <w:rFonts w:hint="eastAsia" w:ascii="宋体" w:hAnsi="宋体" w:cs="宋体"/>
          <w:sz w:val="24"/>
          <w:szCs w:val="24"/>
        </w:rPr>
        <w:t>每半个月进行整体运维情况的汇报，形成汇报机制，提交汇报材料。</w:t>
      </w:r>
    </w:p>
    <w:p>
      <w:pPr>
        <w:spacing w:line="360" w:lineRule="auto"/>
        <w:rPr>
          <w:rFonts w:hint="eastAsia" w:ascii="宋体" w:hAnsi="宋体" w:cs="宋体"/>
          <w:sz w:val="24"/>
          <w:szCs w:val="24"/>
        </w:rPr>
      </w:pPr>
      <w:r>
        <w:rPr>
          <w:rFonts w:hint="eastAsia" w:ascii="宋体" w:hAnsi="宋体" w:cs="宋体"/>
          <w:sz w:val="24"/>
          <w:szCs w:val="24"/>
        </w:rPr>
        <w:t>3.技术培训。</w:t>
      </w:r>
    </w:p>
    <w:p>
      <w:pPr>
        <w:spacing w:line="360" w:lineRule="auto"/>
        <w:rPr>
          <w:rFonts w:hint="eastAsia" w:ascii="宋体" w:hAnsi="宋体" w:cs="宋体"/>
          <w:sz w:val="24"/>
          <w:szCs w:val="24"/>
        </w:rPr>
      </w:pPr>
      <w:r>
        <w:rPr>
          <w:rFonts w:hint="eastAsia" w:ascii="宋体" w:hAnsi="宋体" w:cs="宋体"/>
          <w:sz w:val="24"/>
          <w:szCs w:val="24"/>
        </w:rPr>
        <w:t>根据甲方安排，面向全国试点海关开展不少于2次技术培训，培训内容包括企业ERP对接实施、系统部署、系统应用等技术操作和技术服务。乙方负责安排培训讲师，准备培训设备等，并提供详细的技术操作指导手册等培训课件。</w:t>
      </w:r>
    </w:p>
    <w:p>
      <w:pPr>
        <w:spacing w:line="360" w:lineRule="auto"/>
        <w:rPr>
          <w:rFonts w:hint="eastAsia" w:ascii="宋体" w:hAnsi="宋体" w:cs="宋体"/>
          <w:sz w:val="24"/>
          <w:szCs w:val="24"/>
        </w:rPr>
      </w:pPr>
      <w:r>
        <w:rPr>
          <w:rFonts w:hint="eastAsia" w:ascii="宋体" w:hAnsi="宋体" w:cs="宋体"/>
          <w:sz w:val="24"/>
          <w:szCs w:val="24"/>
        </w:rPr>
        <w:t>（三）运维服务要求。</w:t>
      </w:r>
    </w:p>
    <w:p>
      <w:pPr>
        <w:spacing w:line="360" w:lineRule="auto"/>
        <w:rPr>
          <w:rFonts w:hint="eastAsia" w:ascii="宋体" w:hAnsi="宋体" w:cs="宋体"/>
          <w:sz w:val="24"/>
          <w:szCs w:val="24"/>
        </w:rPr>
      </w:pPr>
      <w:r>
        <w:rPr>
          <w:rFonts w:hint="eastAsia" w:ascii="宋体" w:hAnsi="宋体" w:cs="宋体"/>
          <w:sz w:val="24"/>
          <w:szCs w:val="24"/>
        </w:rPr>
        <w:t>1.系统管理维护。</w:t>
      </w:r>
    </w:p>
    <w:p>
      <w:pPr>
        <w:spacing w:line="360" w:lineRule="auto"/>
        <w:rPr>
          <w:rFonts w:hint="eastAsia" w:ascii="宋体" w:hAnsi="宋体" w:cs="宋体"/>
          <w:sz w:val="24"/>
          <w:szCs w:val="24"/>
        </w:rPr>
      </w:pPr>
      <w:r>
        <w:rPr>
          <w:rFonts w:hint="eastAsia" w:ascii="宋体" w:hAnsi="宋体" w:cs="宋体"/>
          <w:sz w:val="24"/>
          <w:szCs w:val="24"/>
        </w:rPr>
        <w:t>在系统出现问题时，乙方应根据当时的系统服务状态、系统日志、已有记录等对运维范围内系统进行修复，并向甲方提交书面评估报告。评估报告应包括如下内容：报告期内设备或系统正常运行时间、宕机或中断时间、报告期内所接到的事件报告、事件未解决的报告、服务响应时间报告等。</w:t>
      </w:r>
    </w:p>
    <w:p>
      <w:pPr>
        <w:spacing w:line="360" w:lineRule="auto"/>
        <w:rPr>
          <w:rFonts w:hint="eastAsia" w:ascii="宋体" w:hAnsi="宋体" w:cs="宋体"/>
          <w:sz w:val="24"/>
          <w:szCs w:val="24"/>
        </w:rPr>
      </w:pPr>
      <w:r>
        <w:rPr>
          <w:rFonts w:hint="eastAsia" w:ascii="宋体" w:hAnsi="宋体" w:cs="宋体"/>
          <w:sz w:val="24"/>
          <w:szCs w:val="24"/>
        </w:rPr>
        <w:t>2.系统新版本和相关补丁升级机制。</w:t>
      </w:r>
    </w:p>
    <w:p>
      <w:pPr>
        <w:spacing w:line="360" w:lineRule="auto"/>
        <w:rPr>
          <w:rFonts w:hint="eastAsia" w:ascii="宋体" w:hAnsi="宋体" w:cs="宋体"/>
          <w:sz w:val="24"/>
          <w:szCs w:val="24"/>
        </w:rPr>
      </w:pPr>
      <w:r>
        <w:rPr>
          <w:rFonts w:hint="eastAsia" w:ascii="宋体" w:hAnsi="宋体" w:cs="宋体"/>
          <w:sz w:val="24"/>
          <w:szCs w:val="24"/>
        </w:rPr>
        <w:t>乙方对系统软件的版本和补丁进行升级评估，并将评估结果及建议纳入评估报告中，在甲方认可的情况下进行版本及补丁升级，保证最终系统运行环境的安全稳定。</w:t>
      </w:r>
    </w:p>
    <w:p>
      <w:pPr>
        <w:spacing w:line="360" w:lineRule="auto"/>
        <w:rPr>
          <w:rFonts w:hint="eastAsia" w:ascii="宋体" w:hAnsi="宋体" w:cs="宋体"/>
          <w:sz w:val="24"/>
          <w:szCs w:val="24"/>
        </w:rPr>
      </w:pPr>
      <w:r>
        <w:rPr>
          <w:rFonts w:hint="eastAsia" w:ascii="宋体" w:hAnsi="宋体" w:cs="宋体"/>
          <w:sz w:val="24"/>
          <w:szCs w:val="24"/>
        </w:rPr>
        <w:t>3.安全及技术保障。</w:t>
      </w:r>
    </w:p>
    <w:p>
      <w:pPr>
        <w:spacing w:line="360" w:lineRule="auto"/>
        <w:rPr>
          <w:rFonts w:hint="eastAsia" w:ascii="宋体" w:hAnsi="宋体" w:cs="宋体"/>
          <w:sz w:val="24"/>
          <w:szCs w:val="24"/>
        </w:rPr>
      </w:pPr>
      <w:r>
        <w:rPr>
          <w:rFonts w:hint="eastAsia" w:ascii="宋体" w:hAnsi="宋体" w:cs="宋体"/>
          <w:sz w:val="24"/>
          <w:szCs w:val="24"/>
        </w:rPr>
        <w:t>乙方应建立安全管控和技术保障机制，在运维过程中严格遵守安全标准，确保最终数据的机密性和完整性。</w:t>
      </w:r>
    </w:p>
    <w:p>
      <w:pPr>
        <w:spacing w:line="360" w:lineRule="auto"/>
        <w:rPr>
          <w:rFonts w:hint="eastAsia" w:ascii="宋体" w:hAnsi="宋体" w:cs="宋体"/>
          <w:sz w:val="24"/>
          <w:szCs w:val="24"/>
        </w:rPr>
      </w:pPr>
      <w:r>
        <w:rPr>
          <w:rFonts w:hint="eastAsia" w:ascii="宋体" w:hAnsi="宋体" w:cs="宋体"/>
          <w:sz w:val="24"/>
          <w:szCs w:val="24"/>
        </w:rPr>
        <w:t>4.变更实施。</w:t>
      </w:r>
    </w:p>
    <w:p>
      <w:pPr>
        <w:spacing w:line="360" w:lineRule="auto"/>
        <w:rPr>
          <w:rFonts w:hint="eastAsia" w:ascii="宋体" w:hAnsi="宋体" w:cs="宋体"/>
          <w:sz w:val="24"/>
          <w:szCs w:val="24"/>
        </w:rPr>
      </w:pPr>
      <w:r>
        <w:rPr>
          <w:rFonts w:hint="eastAsia" w:ascii="宋体" w:hAnsi="宋体" w:cs="宋体"/>
          <w:sz w:val="24"/>
          <w:szCs w:val="24"/>
        </w:rPr>
        <w:t>如果基础环境及应用系统需变更，乙方按照甲方变更流程实施变更。</w:t>
      </w:r>
    </w:p>
    <w:p>
      <w:pPr>
        <w:spacing w:line="360" w:lineRule="auto"/>
        <w:rPr>
          <w:rFonts w:hint="eastAsia" w:ascii="宋体" w:hAnsi="宋体" w:cs="宋体"/>
          <w:sz w:val="24"/>
          <w:szCs w:val="24"/>
        </w:rPr>
      </w:pPr>
      <w:r>
        <w:rPr>
          <w:rFonts w:hint="eastAsia" w:ascii="宋体" w:hAnsi="宋体" w:cs="宋体"/>
          <w:sz w:val="24"/>
          <w:szCs w:val="24"/>
        </w:rPr>
        <w:t>5.驻场服务。</w:t>
      </w:r>
    </w:p>
    <w:p>
      <w:pPr>
        <w:spacing w:line="360" w:lineRule="auto"/>
        <w:rPr>
          <w:rFonts w:hint="eastAsia" w:ascii="宋体" w:hAnsi="宋体" w:cs="宋体"/>
          <w:sz w:val="24"/>
          <w:szCs w:val="24"/>
        </w:rPr>
      </w:pPr>
      <w:r>
        <w:rPr>
          <w:rFonts w:hint="eastAsia" w:ascii="宋体" w:hAnsi="宋体" w:cs="宋体"/>
          <w:sz w:val="24"/>
          <w:szCs w:val="24"/>
        </w:rPr>
        <w:t>乙方根据甲方要求提供驻场服务。服务期内，驻场时间不少于90人天。</w:t>
      </w:r>
    </w:p>
    <w:p>
      <w:pPr>
        <w:spacing w:line="360" w:lineRule="auto"/>
        <w:rPr>
          <w:rFonts w:hint="eastAsia" w:ascii="宋体" w:hAnsi="宋体" w:cs="宋体"/>
          <w:sz w:val="24"/>
          <w:szCs w:val="24"/>
        </w:rPr>
      </w:pPr>
      <w:r>
        <w:rPr>
          <w:rFonts w:hint="eastAsia" w:ascii="宋体" w:hAnsi="宋体" w:cs="宋体"/>
          <w:sz w:val="24"/>
          <w:szCs w:val="24"/>
        </w:rPr>
        <w:t>（五）服务响应和问题解决。</w:t>
      </w:r>
    </w:p>
    <w:tbl>
      <w:tblPr>
        <w:tblStyle w:val="14"/>
        <w:tblW w:w="8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3300"/>
        <w:gridCol w:w="1652"/>
        <w:gridCol w:w="1393"/>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871" w:type="dxa"/>
            <w:shd w:val="clear" w:color="000000" w:fill="BDD7EE"/>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事件等级</w:t>
            </w:r>
          </w:p>
        </w:tc>
        <w:tc>
          <w:tcPr>
            <w:tcW w:w="3300" w:type="dxa"/>
            <w:shd w:val="clear" w:color="000000" w:fill="BDD7EE"/>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评估标准</w:t>
            </w:r>
          </w:p>
        </w:tc>
        <w:tc>
          <w:tcPr>
            <w:tcW w:w="1652" w:type="dxa"/>
            <w:shd w:val="clear" w:color="000000" w:fill="BDD7EE"/>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工作日响应时间</w:t>
            </w:r>
          </w:p>
        </w:tc>
        <w:tc>
          <w:tcPr>
            <w:tcW w:w="1393" w:type="dxa"/>
            <w:shd w:val="clear" w:color="000000" w:fill="BDD7EE"/>
            <w:noWrap w:val="0"/>
            <w:vAlign w:val="top"/>
          </w:tcPr>
          <w:p>
            <w:pPr>
              <w:spacing w:line="360" w:lineRule="auto"/>
              <w:rPr>
                <w:rFonts w:hint="eastAsia" w:ascii="宋体" w:hAnsi="宋体" w:cs="宋体"/>
                <w:sz w:val="24"/>
                <w:szCs w:val="24"/>
                <w:lang w:val="en-GB"/>
              </w:rPr>
            </w:pPr>
            <w:r>
              <w:rPr>
                <w:rFonts w:hint="eastAsia" w:ascii="宋体" w:hAnsi="宋体" w:cs="宋体"/>
                <w:sz w:val="24"/>
                <w:szCs w:val="24"/>
                <w:lang w:val="en-GB"/>
              </w:rPr>
              <w:t>补救方案提供时间</w:t>
            </w:r>
          </w:p>
        </w:tc>
        <w:tc>
          <w:tcPr>
            <w:tcW w:w="1325" w:type="dxa"/>
            <w:shd w:val="clear" w:color="000000" w:fill="BDD7EE"/>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平均修复时间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871"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rPr>
              <w:t>P</w:t>
            </w:r>
            <w:r>
              <w:rPr>
                <w:rFonts w:hint="eastAsia" w:ascii="宋体" w:hAnsi="宋体" w:cs="宋体"/>
                <w:sz w:val="24"/>
                <w:szCs w:val="24"/>
                <w:lang w:val="en-GB"/>
              </w:rPr>
              <w:t>1</w:t>
            </w:r>
          </w:p>
        </w:tc>
        <w:tc>
          <w:tcPr>
            <w:tcW w:w="3300"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重大的系统故障：现有的系统停机，或对</w:t>
            </w:r>
            <w:r>
              <w:rPr>
                <w:rFonts w:hint="eastAsia" w:ascii="宋体" w:hAnsi="宋体" w:cs="宋体"/>
                <w:sz w:val="24"/>
                <w:szCs w:val="24"/>
              </w:rPr>
              <w:t>海关</w:t>
            </w:r>
            <w:r>
              <w:rPr>
                <w:rFonts w:hint="eastAsia" w:ascii="宋体" w:hAnsi="宋体" w:cs="宋体"/>
                <w:sz w:val="24"/>
                <w:szCs w:val="24"/>
                <w:lang w:val="en-GB"/>
              </w:rPr>
              <w:t>的业务运作有严重影响。</w:t>
            </w:r>
          </w:p>
        </w:tc>
        <w:tc>
          <w:tcPr>
            <w:tcW w:w="1652"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0.5小时</w:t>
            </w:r>
          </w:p>
        </w:tc>
        <w:tc>
          <w:tcPr>
            <w:tcW w:w="1393"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2小时</w:t>
            </w:r>
          </w:p>
        </w:tc>
        <w:tc>
          <w:tcPr>
            <w:tcW w:w="1325" w:type="dxa"/>
            <w:noWrap w:val="0"/>
            <w:vAlign w:val="center"/>
          </w:tcPr>
          <w:p>
            <w:pPr>
              <w:spacing w:line="360" w:lineRule="auto"/>
              <w:rPr>
                <w:rFonts w:hint="eastAsia" w:ascii="宋体" w:hAnsi="宋体" w:cs="宋体"/>
                <w:sz w:val="24"/>
                <w:szCs w:val="24"/>
              </w:rPr>
            </w:pPr>
            <w:r>
              <w:rPr>
                <w:rFonts w:hint="eastAsia" w:ascii="宋体" w:hAnsi="宋体" w:cs="宋体"/>
                <w:sz w:val="24"/>
                <w:szCs w:val="24"/>
              </w:rPr>
              <w:t>12小时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871"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rPr>
              <w:t>P</w:t>
            </w:r>
            <w:r>
              <w:rPr>
                <w:rFonts w:hint="eastAsia" w:ascii="宋体" w:hAnsi="宋体" w:cs="宋体"/>
                <w:sz w:val="24"/>
                <w:szCs w:val="24"/>
                <w:lang w:val="en-GB"/>
              </w:rPr>
              <w:t>2</w:t>
            </w:r>
          </w:p>
        </w:tc>
        <w:tc>
          <w:tcPr>
            <w:tcW w:w="3300"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严重的系统故障：现有系统的工作性能严重下降，对</w:t>
            </w:r>
            <w:r>
              <w:rPr>
                <w:rFonts w:hint="eastAsia" w:ascii="宋体" w:hAnsi="宋体" w:cs="宋体"/>
                <w:sz w:val="24"/>
                <w:szCs w:val="24"/>
              </w:rPr>
              <w:t>海关</w:t>
            </w:r>
            <w:r>
              <w:rPr>
                <w:rFonts w:hint="eastAsia" w:ascii="宋体" w:hAnsi="宋体" w:cs="宋体"/>
                <w:sz w:val="24"/>
                <w:szCs w:val="24"/>
                <w:lang w:val="en-GB"/>
              </w:rPr>
              <w:t>的业务运作重要影响；系统功能和流程出现故障，对主要业务支撑不畅。</w:t>
            </w:r>
          </w:p>
        </w:tc>
        <w:tc>
          <w:tcPr>
            <w:tcW w:w="1652"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0.5小时</w:t>
            </w:r>
          </w:p>
        </w:tc>
        <w:tc>
          <w:tcPr>
            <w:tcW w:w="1393"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2小时</w:t>
            </w:r>
          </w:p>
        </w:tc>
        <w:tc>
          <w:tcPr>
            <w:tcW w:w="1325"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871"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rPr>
              <w:t>P</w:t>
            </w:r>
            <w:r>
              <w:rPr>
                <w:rFonts w:hint="eastAsia" w:ascii="宋体" w:hAnsi="宋体" w:cs="宋体"/>
                <w:sz w:val="24"/>
                <w:szCs w:val="24"/>
                <w:lang w:val="en-GB"/>
              </w:rPr>
              <w:t>3</w:t>
            </w:r>
          </w:p>
        </w:tc>
        <w:tc>
          <w:tcPr>
            <w:tcW w:w="3300"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一般系统故障：系统的工作性能受损或部分功能bug，但</w:t>
            </w:r>
            <w:r>
              <w:rPr>
                <w:rFonts w:hint="eastAsia" w:ascii="宋体" w:hAnsi="宋体" w:cs="宋体"/>
                <w:sz w:val="24"/>
                <w:szCs w:val="24"/>
              </w:rPr>
              <w:t>海关</w:t>
            </w:r>
            <w:r>
              <w:rPr>
                <w:rFonts w:hint="eastAsia" w:ascii="宋体" w:hAnsi="宋体" w:cs="宋体"/>
                <w:sz w:val="24"/>
                <w:szCs w:val="24"/>
                <w:lang w:val="en-GB"/>
              </w:rPr>
              <w:t>大部分业务运作仍可正常工作。</w:t>
            </w:r>
          </w:p>
        </w:tc>
        <w:tc>
          <w:tcPr>
            <w:tcW w:w="1652"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0.5小时</w:t>
            </w:r>
          </w:p>
        </w:tc>
        <w:tc>
          <w:tcPr>
            <w:tcW w:w="1393"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12小时</w:t>
            </w:r>
          </w:p>
        </w:tc>
        <w:tc>
          <w:tcPr>
            <w:tcW w:w="1325"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2个工作日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871"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rPr>
              <w:t>P</w:t>
            </w:r>
            <w:r>
              <w:rPr>
                <w:rFonts w:hint="eastAsia" w:ascii="宋体" w:hAnsi="宋体" w:cs="宋体"/>
                <w:sz w:val="24"/>
                <w:szCs w:val="24"/>
                <w:lang w:val="en-GB"/>
              </w:rPr>
              <w:t>4</w:t>
            </w:r>
          </w:p>
        </w:tc>
        <w:tc>
          <w:tcPr>
            <w:tcW w:w="3300"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对某些产品功能、安装或配置方面需要信息或支援，对</w:t>
            </w:r>
            <w:r>
              <w:rPr>
                <w:rFonts w:hint="eastAsia" w:ascii="宋体" w:hAnsi="宋体" w:cs="宋体"/>
                <w:sz w:val="24"/>
                <w:szCs w:val="24"/>
              </w:rPr>
              <w:t>海关</w:t>
            </w:r>
            <w:r>
              <w:rPr>
                <w:rFonts w:hint="eastAsia" w:ascii="宋体" w:hAnsi="宋体" w:cs="宋体"/>
                <w:sz w:val="24"/>
                <w:szCs w:val="24"/>
                <w:lang w:val="en-GB"/>
              </w:rPr>
              <w:t>的业务运作几乎无影响，或无须马上必须解决的问题。</w:t>
            </w:r>
          </w:p>
        </w:tc>
        <w:tc>
          <w:tcPr>
            <w:tcW w:w="1652"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0.5小时</w:t>
            </w:r>
          </w:p>
        </w:tc>
        <w:tc>
          <w:tcPr>
            <w:tcW w:w="1393"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rPr>
              <w:t>24</w:t>
            </w:r>
            <w:r>
              <w:rPr>
                <w:rFonts w:hint="eastAsia" w:ascii="宋体" w:hAnsi="宋体" w:cs="宋体"/>
                <w:sz w:val="24"/>
                <w:szCs w:val="24"/>
                <w:lang w:val="en-GB"/>
              </w:rPr>
              <w:t>小时</w:t>
            </w:r>
          </w:p>
        </w:tc>
        <w:tc>
          <w:tcPr>
            <w:tcW w:w="1325" w:type="dxa"/>
            <w:noWrap w:val="0"/>
            <w:vAlign w:val="center"/>
          </w:tcPr>
          <w:p>
            <w:pPr>
              <w:spacing w:line="360" w:lineRule="auto"/>
              <w:rPr>
                <w:rFonts w:hint="eastAsia" w:ascii="宋体" w:hAnsi="宋体" w:cs="宋体"/>
                <w:sz w:val="24"/>
                <w:szCs w:val="24"/>
                <w:lang w:val="en-GB"/>
              </w:rPr>
            </w:pPr>
            <w:r>
              <w:rPr>
                <w:rFonts w:hint="eastAsia" w:ascii="宋体" w:hAnsi="宋体" w:cs="宋体"/>
                <w:sz w:val="24"/>
                <w:szCs w:val="24"/>
                <w:lang w:val="en-GB"/>
              </w:rPr>
              <w:t>2个工作日</w:t>
            </w:r>
          </w:p>
        </w:tc>
      </w:tr>
    </w:tbl>
    <w:p>
      <w:pPr>
        <w:spacing w:line="360" w:lineRule="auto"/>
        <w:rPr>
          <w:rFonts w:hint="eastAsia" w:ascii="宋体" w:hAnsi="宋体" w:cs="宋体"/>
          <w:sz w:val="24"/>
          <w:szCs w:val="24"/>
        </w:rPr>
      </w:pPr>
      <w:r>
        <w:rPr>
          <w:rFonts w:hint="eastAsia" w:ascii="宋体" w:hAnsi="宋体" w:cs="宋体"/>
          <w:sz w:val="24"/>
          <w:szCs w:val="24"/>
        </w:rPr>
        <w:t>注：</w:t>
      </w:r>
    </w:p>
    <w:p>
      <w:pPr>
        <w:spacing w:line="360" w:lineRule="auto"/>
        <w:rPr>
          <w:rFonts w:hint="eastAsia" w:ascii="宋体" w:hAnsi="宋体" w:cs="宋体"/>
          <w:sz w:val="24"/>
          <w:szCs w:val="24"/>
        </w:rPr>
      </w:pPr>
      <w:r>
        <w:rPr>
          <w:rFonts w:hint="eastAsia" w:ascii="宋体" w:hAnsi="宋体" w:cs="宋体"/>
          <w:sz w:val="24"/>
          <w:szCs w:val="24"/>
        </w:rPr>
        <w:t>1.如协议约定的服务响应标准高于此标准，以协议约定为准。</w:t>
      </w:r>
    </w:p>
    <w:p>
      <w:pPr>
        <w:spacing w:line="360" w:lineRule="auto"/>
        <w:rPr>
          <w:rFonts w:hint="eastAsia" w:ascii="宋体" w:hAnsi="宋体" w:cs="宋体"/>
          <w:sz w:val="24"/>
          <w:szCs w:val="24"/>
        </w:rPr>
      </w:pPr>
      <w:r>
        <w:rPr>
          <w:rFonts w:hint="eastAsia" w:ascii="宋体" w:hAnsi="宋体" w:cs="宋体"/>
          <w:sz w:val="24"/>
          <w:szCs w:val="24"/>
        </w:rPr>
        <w:t>2.需要去甲方现场支持的事件，平均修复时间从服务人员到达甲方现场算起。</w:t>
      </w:r>
    </w:p>
    <w:p>
      <w:pPr>
        <w:spacing w:line="360" w:lineRule="auto"/>
        <w:rPr>
          <w:rFonts w:hint="eastAsia" w:ascii="宋体" w:hAnsi="宋体" w:cs="宋体"/>
          <w:sz w:val="24"/>
          <w:szCs w:val="24"/>
        </w:rPr>
      </w:pPr>
      <w:r>
        <w:rPr>
          <w:rFonts w:hint="eastAsia" w:ascii="宋体" w:hAnsi="宋体" w:cs="宋体"/>
          <w:sz w:val="24"/>
          <w:szCs w:val="24"/>
        </w:rPr>
        <w:t>3.因不可抗力：由于地震、台风、火灾、战争、国家正常和法律变化以及其他不能预见并对其发生和后果不能预防或避免的不可抗力，直接影响本服务不能按标准要求履行。</w:t>
      </w:r>
    </w:p>
    <w:p>
      <w:pPr>
        <w:spacing w:line="360" w:lineRule="auto"/>
        <w:rPr>
          <w:rFonts w:hint="eastAsia" w:ascii="宋体" w:hAnsi="宋体" w:cs="宋体"/>
          <w:b/>
          <w:bCs/>
          <w:sz w:val="24"/>
          <w:szCs w:val="24"/>
        </w:rPr>
      </w:pPr>
      <w:r>
        <w:rPr>
          <w:rFonts w:hint="eastAsia" w:ascii="宋体" w:hAnsi="宋体" w:cs="宋体"/>
          <w:b/>
          <w:bCs/>
          <w:sz w:val="24"/>
          <w:szCs w:val="24"/>
        </w:rPr>
        <w:t>三、数据安全保障</w:t>
      </w:r>
    </w:p>
    <w:p>
      <w:pPr>
        <w:spacing w:line="360" w:lineRule="auto"/>
        <w:rPr>
          <w:rFonts w:hint="eastAsia" w:ascii="宋体" w:hAnsi="宋体" w:cs="宋体"/>
          <w:sz w:val="24"/>
          <w:szCs w:val="24"/>
        </w:rPr>
      </w:pPr>
      <w:r>
        <w:rPr>
          <w:rFonts w:hint="eastAsia" w:ascii="宋体" w:hAnsi="宋体" w:cs="宋体"/>
          <w:sz w:val="24"/>
          <w:szCs w:val="24"/>
        </w:rPr>
        <w:t>（一）签署保密协议。与运维公司及运维人员签署保密协议，明确运维人员对数据保密的责任和义务，确保数据的保密性和机密性。</w:t>
      </w:r>
    </w:p>
    <w:p>
      <w:pPr>
        <w:spacing w:line="360" w:lineRule="auto"/>
        <w:rPr>
          <w:rFonts w:hint="eastAsia" w:ascii="宋体" w:hAnsi="宋体" w:cs="宋体"/>
          <w:sz w:val="24"/>
          <w:szCs w:val="24"/>
        </w:rPr>
      </w:pPr>
      <w:r>
        <w:rPr>
          <w:rFonts w:hint="eastAsia" w:ascii="宋体" w:hAnsi="宋体" w:cs="宋体"/>
          <w:sz w:val="24"/>
          <w:szCs w:val="24"/>
        </w:rPr>
        <w:t>（二）控制访问权限。采用身份验证和授权机制，限制运维人员对数据的访问权限。</w:t>
      </w:r>
    </w:p>
    <w:p>
      <w:pPr>
        <w:spacing w:line="360" w:lineRule="auto"/>
        <w:rPr>
          <w:rFonts w:hint="eastAsia" w:ascii="宋体" w:hAnsi="宋体" w:cs="宋体"/>
          <w:sz w:val="24"/>
          <w:szCs w:val="24"/>
        </w:rPr>
      </w:pPr>
      <w:r>
        <w:rPr>
          <w:rFonts w:hint="eastAsia" w:ascii="宋体" w:hAnsi="宋体" w:cs="宋体"/>
          <w:sz w:val="24"/>
          <w:szCs w:val="24"/>
        </w:rPr>
        <w:t>（三）建立数据备份机制。运维过程中，建立数据备份及恢复机制，防止数据丢失或损坏。</w:t>
      </w:r>
    </w:p>
    <w:p>
      <w:pPr>
        <w:spacing w:line="360" w:lineRule="auto"/>
        <w:rPr>
          <w:rFonts w:hint="eastAsia" w:ascii="宋体" w:hAnsi="宋体" w:cs="宋体"/>
          <w:sz w:val="24"/>
          <w:szCs w:val="24"/>
        </w:rPr>
      </w:pPr>
      <w:r>
        <w:rPr>
          <w:rFonts w:hint="eastAsia" w:ascii="宋体" w:hAnsi="宋体" w:cs="宋体"/>
          <w:sz w:val="24"/>
          <w:szCs w:val="24"/>
        </w:rPr>
        <w:t>（四）安全审计。建立安全审计机制，记录和监控数据访问和操作活动。</w:t>
      </w:r>
    </w:p>
    <w:p>
      <w:bookmarkStart w:id="5" w:name="_GoBack"/>
      <w:bookmarkEnd w:id="5"/>
    </w:p>
    <w:sectPr>
      <w:headerReference r:id="rId3" w:type="default"/>
      <w:pgSz w:w="11907" w:h="16840"/>
      <w:pgMar w:top="1474" w:right="1418" w:bottom="1247" w:left="1418" w:header="737" w:footer="567" w:gutter="17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F07B67"/>
    <w:rsid w:val="0000002E"/>
    <w:rsid w:val="00035FDC"/>
    <w:rsid w:val="000E0AD6"/>
    <w:rsid w:val="000E24B2"/>
    <w:rsid w:val="001E13C0"/>
    <w:rsid w:val="00263955"/>
    <w:rsid w:val="00374611"/>
    <w:rsid w:val="00391D2A"/>
    <w:rsid w:val="003A08F0"/>
    <w:rsid w:val="00584311"/>
    <w:rsid w:val="00634E4A"/>
    <w:rsid w:val="00677542"/>
    <w:rsid w:val="00720994"/>
    <w:rsid w:val="00794215"/>
    <w:rsid w:val="0087030C"/>
    <w:rsid w:val="008C6162"/>
    <w:rsid w:val="00914F23"/>
    <w:rsid w:val="00972346"/>
    <w:rsid w:val="00AC2812"/>
    <w:rsid w:val="00AE721F"/>
    <w:rsid w:val="00B25542"/>
    <w:rsid w:val="00B52D07"/>
    <w:rsid w:val="00BD3F95"/>
    <w:rsid w:val="00BE7455"/>
    <w:rsid w:val="00D71CF8"/>
    <w:rsid w:val="00DF745D"/>
    <w:rsid w:val="00E1055D"/>
    <w:rsid w:val="00E34658"/>
    <w:rsid w:val="00E34D08"/>
    <w:rsid w:val="00F07B67"/>
    <w:rsid w:val="00F5791C"/>
    <w:rsid w:val="00FC0479"/>
    <w:rsid w:val="107339C9"/>
    <w:rsid w:val="1BAC04D2"/>
    <w:rsid w:val="272C2AAA"/>
    <w:rsid w:val="34285B3B"/>
    <w:rsid w:val="3A43493D"/>
    <w:rsid w:val="45E740A7"/>
    <w:rsid w:val="5CCB107F"/>
    <w:rsid w:val="634728BF"/>
    <w:rsid w:val="6CB54E48"/>
    <w:rsid w:val="7CA32F54"/>
    <w:rsid w:val="7D8F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spacing w:before="340" w:after="330" w:line="578" w:lineRule="auto"/>
      <w:outlineLvl w:val="0"/>
    </w:pPr>
    <w:rPr>
      <w:kern w:val="44"/>
      <w:sz w:val="44"/>
      <w:szCs w:val="44"/>
    </w:rPr>
  </w:style>
  <w:style w:type="paragraph" w:styleId="4">
    <w:name w:val="heading 2"/>
    <w:basedOn w:val="1"/>
    <w:next w:val="1"/>
    <w:qFormat/>
    <w:uiPriority w:val="99"/>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99"/>
    <w:pPr>
      <w:spacing w:before="260" w:after="260" w:line="413" w:lineRule="auto"/>
      <w:outlineLvl w:val="2"/>
    </w:pPr>
    <w:rPr>
      <w:sz w:val="32"/>
    </w:rPr>
  </w:style>
  <w:style w:type="paragraph" w:styleId="6">
    <w:name w:val="heading 4"/>
    <w:basedOn w:val="1"/>
    <w:next w:val="1"/>
    <w:qFormat/>
    <w:uiPriority w:val="99"/>
    <w:pPr>
      <w:keepNext/>
      <w:keepLines/>
      <w:spacing w:before="280" w:after="290" w:line="376" w:lineRule="auto"/>
      <w:outlineLvl w:val="3"/>
    </w:pPr>
    <w:rPr>
      <w:rFonts w:ascii="Calibri Light" w:hAnsi="Calibri Light"/>
      <w:b/>
      <w:bCs/>
      <w:sz w:val="28"/>
      <w:szCs w:val="28"/>
    </w:rPr>
  </w:style>
  <w:style w:type="paragraph" w:styleId="7">
    <w:name w:val="heading 5"/>
    <w:basedOn w:val="1"/>
    <w:next w:val="1"/>
    <w:qFormat/>
    <w:uiPriority w:val="99"/>
    <w:pPr>
      <w:keepNext/>
      <w:keepLines/>
      <w:spacing w:before="280" w:after="290" w:line="376" w:lineRule="auto"/>
      <w:outlineLvl w:val="4"/>
    </w:pPr>
    <w:rPr>
      <w:b/>
      <w:bCs/>
      <w:sz w:val="28"/>
      <w:szCs w:val="28"/>
    </w:rPr>
  </w:style>
  <w:style w:type="paragraph" w:styleId="8">
    <w:name w:val="heading 6"/>
    <w:basedOn w:val="1"/>
    <w:next w:val="1"/>
    <w:qFormat/>
    <w:uiPriority w:val="99"/>
    <w:pPr>
      <w:keepNext/>
      <w:keepLines/>
      <w:spacing w:before="240" w:after="64" w:line="320" w:lineRule="auto"/>
      <w:outlineLvl w:val="5"/>
    </w:pPr>
    <w:rPr>
      <w:rFonts w:ascii="Calibri Light" w:hAnsi="Calibri Light"/>
      <w:b/>
      <w:bCs/>
      <w:sz w:val="24"/>
      <w:szCs w:val="24"/>
    </w:rPr>
  </w:style>
  <w:style w:type="paragraph" w:styleId="9">
    <w:name w:val="heading 7"/>
    <w:basedOn w:val="1"/>
    <w:next w:val="1"/>
    <w:qFormat/>
    <w:uiPriority w:val="9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kern w:val="0"/>
      <w:sz w:val="20"/>
      <w:szCs w:val="21"/>
    </w:rPr>
  </w:style>
  <w:style w:type="paragraph" w:styleId="10">
    <w:name w:val="annotation text"/>
    <w:basedOn w:val="1"/>
    <w:link w:val="22"/>
    <w:unhideWhenUsed/>
    <w:qFormat/>
    <w:uiPriority w:val="0"/>
    <w:pPr>
      <w:jc w:val="left"/>
    </w:pPr>
  </w:style>
  <w:style w:type="paragraph" w:styleId="11">
    <w:name w:val="Body Text"/>
    <w:basedOn w:val="1"/>
    <w:next w:val="1"/>
    <w:qFormat/>
    <w:uiPriority w:val="0"/>
    <w:pPr>
      <w:spacing w:line="360" w:lineRule="auto"/>
    </w:pPr>
    <w:rPr>
      <w:b/>
      <w:bCs/>
      <w:sz w:val="24"/>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Char"/>
    <w:basedOn w:val="15"/>
    <w:link w:val="13"/>
    <w:qFormat/>
    <w:uiPriority w:val="99"/>
    <w:rPr>
      <w:sz w:val="18"/>
      <w:szCs w:val="18"/>
    </w:rPr>
  </w:style>
  <w:style w:type="character" w:customStyle="1" w:styleId="17">
    <w:name w:val="页脚 Char"/>
    <w:basedOn w:val="15"/>
    <w:link w:val="12"/>
    <w:qFormat/>
    <w:uiPriority w:val="99"/>
    <w:rPr>
      <w:sz w:val="18"/>
      <w:szCs w:val="18"/>
    </w:rPr>
  </w:style>
  <w:style w:type="character" w:customStyle="1" w:styleId="18">
    <w:name w:val="列出段落 Char"/>
    <w:link w:val="19"/>
    <w:qFormat/>
    <w:locked/>
    <w:uiPriority w:val="34"/>
  </w:style>
  <w:style w:type="paragraph" w:styleId="19">
    <w:name w:val="List Paragraph"/>
    <w:basedOn w:val="1"/>
    <w:link w:val="18"/>
    <w:qFormat/>
    <w:uiPriority w:val="34"/>
    <w:pPr>
      <w:ind w:firstLine="420"/>
    </w:pPr>
  </w:style>
  <w:style w:type="paragraph" w:customStyle="1" w:styleId="20">
    <w:name w:val="正文 首行缩进:  2 字符"/>
    <w:basedOn w:val="1"/>
    <w:link w:val="21"/>
    <w:qFormat/>
    <w:uiPriority w:val="0"/>
    <w:pPr>
      <w:spacing w:line="360" w:lineRule="auto"/>
      <w:ind w:firstLine="480" w:firstLineChars="200"/>
    </w:pPr>
    <w:rPr>
      <w:rFonts w:ascii="Times New Roman" w:hAnsi="Times New Roman"/>
      <w:sz w:val="24"/>
      <w:szCs w:val="20"/>
      <w:lang w:val="zh-CN"/>
    </w:rPr>
  </w:style>
  <w:style w:type="character" w:customStyle="1" w:styleId="21">
    <w:name w:val="正文 首行缩进:  2 字符 Char"/>
    <w:link w:val="20"/>
    <w:qFormat/>
    <w:uiPriority w:val="0"/>
    <w:rPr>
      <w:rFonts w:ascii="Times New Roman" w:hAnsi="Times New Roman" w:eastAsia="宋体" w:cs="Times New Roman"/>
      <w:sz w:val="24"/>
      <w:szCs w:val="20"/>
      <w:lang w:val="zh-CN" w:eastAsia="zh-CN"/>
    </w:rPr>
  </w:style>
  <w:style w:type="character" w:customStyle="1" w:styleId="22">
    <w:name w:val="批注文字 Char"/>
    <w:link w:val="10"/>
    <w:qFormat/>
    <w:uiPriority w:val="0"/>
    <w:rPr>
      <w:rFonts w:ascii="Calibri" w:hAnsi="Calibri" w:eastAsia="宋体"/>
      <w:kern w:val="2"/>
      <w:sz w:val="21"/>
      <w:szCs w:val="22"/>
    </w:rPr>
  </w:style>
  <w:style w:type="character" w:customStyle="1" w:styleId="23">
    <w:name w:val="批注文字 字符"/>
    <w:basedOn w:val="15"/>
    <w:semiHidden/>
    <w:qFormat/>
    <w:uiPriority w:val="99"/>
    <w:rPr>
      <w:rFonts w:ascii="Calibri" w:hAnsi="Calibri" w:eastAsia="宋体"/>
      <w:kern w:val="2"/>
      <w:sz w:val="21"/>
      <w:szCs w:val="22"/>
    </w:rPr>
  </w:style>
  <w:style w:type="paragraph" w:customStyle="1" w:styleId="24">
    <w:name w:val="正文（绿盟科技）"/>
    <w:qFormat/>
    <w:uiPriority w:val="0"/>
    <w:pPr>
      <w:spacing w:line="300" w:lineRule="auto"/>
    </w:pPr>
    <w:rPr>
      <w:rFonts w:ascii="Arial" w:hAnsi="Arial" w:eastAsia="宋体" w:cs="Times New Roman"/>
      <w:sz w:val="24"/>
      <w:szCs w:val="21"/>
      <w:lang w:val="en-US" w:eastAsia="zh-CN" w:bidi="ar-SA"/>
    </w:rPr>
  </w:style>
  <w:style w:type="paragraph" w:customStyle="1" w:styleId="25">
    <w:name w:val="_Style 22"/>
    <w:basedOn w:val="1"/>
    <w:next w:val="19"/>
    <w:qFormat/>
    <w:uiPriority w:val="34"/>
    <w:pPr>
      <w:ind w:firstLine="420" w:firstLineChars="200"/>
    </w:pPr>
  </w:style>
  <w:style w:type="paragraph" w:customStyle="1" w:styleId="26">
    <w:name w:val="样式 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7">
    <w:name w:val="样式 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8">
    <w:name w:val="样式 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9">
    <w:name w:val="样式 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0">
    <w:name w:val="样式 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1">
    <w:name w:val="样式 1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2">
    <w:name w:val="样式 1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3">
    <w:name w:val="样式 小四"/>
    <w:qFormat/>
    <w:uiPriority w:val="0"/>
    <w:pPr>
      <w:widowControl w:val="0"/>
    </w:pPr>
    <w:rPr>
      <w:rFonts w:ascii="宋体" w:hAnsi="Times New Roman" w:eastAsia="宋体" w:cs="Times New Roman"/>
      <w:kern w:val="2"/>
      <w:sz w:val="24"/>
      <w:szCs w:val="21"/>
      <w:lang w:val="en-US" w:eastAsia="zh-CN" w:bidi="ar-SA"/>
    </w:rPr>
  </w:style>
  <w:style w:type="paragraph" w:customStyle="1" w:styleId="34">
    <w:name w:val="样式 1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5">
    <w:name w:val="样式 1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6">
    <w:name w:val="样式 1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7">
    <w:name w:val="样式 20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8">
    <w:name w:val="样式 2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9">
    <w:name w:val="样式 2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0">
    <w:name w:val="样式 2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1">
    <w:name w:val="样式 2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2">
    <w:name w:val="样式 2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3">
    <w:name w:val="样式 1 小四"/>
    <w:qFormat/>
    <w:uiPriority w:val="0"/>
    <w:pPr>
      <w:widowControl w:val="0"/>
    </w:pPr>
    <w:rPr>
      <w:rFonts w:ascii="宋体" w:hAnsi="Times New Roman" w:eastAsia="宋体" w:cs="Times New Roman"/>
      <w:kern w:val="2"/>
      <w:sz w:val="24"/>
      <w:szCs w:val="21"/>
      <w:lang w:val="en-US" w:eastAsia="zh-CN" w:bidi="ar-SA"/>
    </w:rPr>
  </w:style>
  <w:style w:type="paragraph" w:customStyle="1" w:styleId="44">
    <w:name w:val="样式 2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5">
    <w:name w:val="样式 2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6">
    <w:name w:val="样式 3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7">
    <w:name w:val="样式 3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8">
    <w:name w:val="样式 3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9">
    <w:name w:val="样式 3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0">
    <w:name w:val="样式 3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1">
    <w:name w:val="样式 3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2">
    <w:name w:val="样式 40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3">
    <w:name w:val="样式 4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4">
    <w:name w:val="样式 4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5">
    <w:name w:val="样式 4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6">
    <w:name w:val="样式 4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7">
    <w:name w:val="样式 4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8">
    <w:name w:val="样式 4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9">
    <w:name w:val="样式 4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0">
    <w:name w:val="样式 5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1">
    <w:name w:val="样式 5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2">
    <w:name w:val="样式 5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3">
    <w:name w:val="样式 5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5753</Words>
  <Characters>6362</Characters>
  <Lines>7</Lines>
  <Paragraphs>18</Paragraphs>
  <TotalTime>0</TotalTime>
  <ScaleCrop>false</ScaleCrop>
  <LinksUpToDate>false</LinksUpToDate>
  <CharactersWithSpaces>6372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2018-07-14T05:06:00Z</dcterms:created>
  <dc:creator>瑞凝信</dc:creator>
  <cp:lastModifiedBy>WF</cp:lastModifiedBy>
  <dcterms:modified xsi:type="dcterms:W3CDTF">2023-09-28T09:27:51Z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commondata">
    <vt:lpwstr>eyJoZGlkIjoiZGU2ZWE1MzJlYzhlMzYwM2NlNjg2NGE5OWUzY2ZhZTgifQ==</vt:lpwstr>
  </property>
  <property fmtid="{D5CDD505-2E9C-101B-9397-08002B2CF9AE}" pid="4" name="ICV">
    <vt:lpwstr>67A707AABC8E43BCBB6AAF145DD7BD28</vt:lpwstr>
  </property>
</Properties>
</file>