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ascii="新宋体" w:hAnsi="新宋体" w:eastAsia="新宋体"/>
          <w:color w:val="auto"/>
          <w:kern w:val="44"/>
          <w:sz w:val="30"/>
          <w:szCs w:val="30"/>
        </w:rPr>
      </w:pPr>
      <w:r>
        <w:rPr>
          <w:rFonts w:hint="eastAsia" w:ascii="新宋体" w:hAnsi="新宋体" w:eastAsia="新宋体"/>
          <w:color w:val="auto"/>
          <w:kern w:val="44"/>
          <w:sz w:val="30"/>
          <w:szCs w:val="30"/>
        </w:rPr>
        <w:t>第二章  招标项目需求</w:t>
      </w:r>
    </w:p>
    <w:p>
      <w:pPr>
        <w:pStyle w:val="4"/>
        <w:rPr>
          <w:rFonts w:ascii="新宋体" w:hAnsi="新宋体" w:eastAsia="新宋体"/>
          <w:color w:val="auto"/>
          <w:kern w:val="44"/>
          <w:szCs w:val="28"/>
        </w:rPr>
      </w:pPr>
      <w:r>
        <w:rPr>
          <w:rFonts w:hint="eastAsia" w:ascii="新宋体" w:hAnsi="新宋体" w:eastAsia="新宋体"/>
          <w:color w:val="auto"/>
          <w:kern w:val="44"/>
          <w:szCs w:val="28"/>
        </w:rPr>
        <w:t>一、对通用条款的补充内容</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1889"/>
        <w:gridCol w:w="5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b/>
                <w:bCs/>
                <w:color w:val="auto"/>
              </w:rPr>
            </w:pPr>
            <w:r>
              <w:rPr>
                <w:rFonts w:hint="eastAsia" w:ascii="新宋体" w:hAnsi="新宋体" w:eastAsia="新宋体"/>
                <w:b/>
                <w:bCs/>
                <w:color w:val="auto"/>
              </w:rPr>
              <w:t>序号</w:t>
            </w:r>
          </w:p>
        </w:tc>
        <w:tc>
          <w:tcPr>
            <w:tcW w:w="2012" w:type="dxa"/>
            <w:vAlign w:val="center"/>
          </w:tcPr>
          <w:p>
            <w:pPr>
              <w:spacing w:line="276" w:lineRule="auto"/>
              <w:jc w:val="center"/>
              <w:rPr>
                <w:rFonts w:ascii="新宋体" w:hAnsi="新宋体" w:eastAsia="新宋体"/>
                <w:b/>
                <w:bCs/>
                <w:color w:val="auto"/>
              </w:rPr>
            </w:pPr>
            <w:r>
              <w:rPr>
                <w:rFonts w:hint="eastAsia" w:ascii="新宋体" w:hAnsi="新宋体" w:eastAsia="新宋体"/>
                <w:b/>
                <w:bCs/>
                <w:color w:val="auto"/>
              </w:rPr>
              <w:t>内   容</w:t>
            </w:r>
          </w:p>
        </w:tc>
        <w:tc>
          <w:tcPr>
            <w:tcW w:w="6239" w:type="dxa"/>
            <w:vAlign w:val="center"/>
          </w:tcPr>
          <w:p>
            <w:pPr>
              <w:spacing w:line="276" w:lineRule="auto"/>
              <w:jc w:val="center"/>
              <w:rPr>
                <w:rFonts w:ascii="新宋体" w:hAnsi="新宋体" w:eastAsia="新宋体"/>
                <w:b/>
                <w:bCs/>
                <w:color w:val="auto"/>
              </w:rPr>
            </w:pPr>
            <w:r>
              <w:rPr>
                <w:rFonts w:hint="eastAsia" w:ascii="新宋体" w:hAnsi="新宋体" w:eastAsia="新宋体"/>
                <w:b/>
                <w:bCs/>
                <w:color w:val="auto"/>
              </w:rPr>
              <w:t>规      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color w:val="auto"/>
              </w:rPr>
            </w:pPr>
            <w:r>
              <w:rPr>
                <w:rFonts w:hint="eastAsia" w:ascii="新宋体" w:hAnsi="新宋体" w:eastAsia="新宋体"/>
                <w:color w:val="auto"/>
              </w:rPr>
              <w:t>1</w:t>
            </w:r>
          </w:p>
        </w:tc>
        <w:tc>
          <w:tcPr>
            <w:tcW w:w="2012" w:type="dxa"/>
            <w:vAlign w:val="center"/>
          </w:tcPr>
          <w:p>
            <w:pPr>
              <w:spacing w:line="276" w:lineRule="auto"/>
              <w:rPr>
                <w:rFonts w:ascii="新宋体" w:hAnsi="新宋体" w:eastAsia="新宋体"/>
                <w:color w:val="auto"/>
              </w:rPr>
            </w:pPr>
            <w:r>
              <w:rPr>
                <w:rFonts w:hint="eastAsia" w:ascii="新宋体" w:hAnsi="新宋体" w:eastAsia="新宋体"/>
                <w:color w:val="auto"/>
              </w:rPr>
              <w:t>联合体投标</w:t>
            </w:r>
          </w:p>
        </w:tc>
        <w:tc>
          <w:tcPr>
            <w:tcW w:w="6239" w:type="dxa"/>
            <w:vAlign w:val="center"/>
          </w:tcPr>
          <w:p>
            <w:pPr>
              <w:spacing w:line="276" w:lineRule="auto"/>
              <w:rPr>
                <w:rFonts w:ascii="新宋体" w:hAnsi="新宋体" w:eastAsia="新宋体"/>
                <w:snapToGrid w:val="0"/>
                <w:color w:val="auto"/>
                <w:kern w:val="0"/>
                <w:szCs w:val="32"/>
                <w:u w:val="single"/>
                <w:lang w:val="zh-CN"/>
              </w:rPr>
            </w:pPr>
            <w:r>
              <w:rPr>
                <w:rFonts w:hint="eastAsia" w:ascii="新宋体" w:hAnsi="新宋体" w:eastAsia="新宋体"/>
                <w:snapToGrid w:val="0"/>
                <w:color w:val="auto"/>
                <w:kern w:val="0"/>
                <w:szCs w:val="32"/>
                <w:u w:val="single"/>
                <w:lang w:val="zh-CN"/>
              </w:rPr>
              <w:t>见《招标公告》中“投标人资格要求”部分的相关内容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color w:val="auto"/>
              </w:rPr>
            </w:pPr>
            <w:r>
              <w:rPr>
                <w:rFonts w:hint="eastAsia" w:ascii="新宋体" w:hAnsi="新宋体" w:eastAsia="新宋体"/>
                <w:color w:val="auto"/>
              </w:rPr>
              <w:t>2</w:t>
            </w:r>
          </w:p>
        </w:tc>
        <w:tc>
          <w:tcPr>
            <w:tcW w:w="2012" w:type="dxa"/>
            <w:vAlign w:val="center"/>
          </w:tcPr>
          <w:p>
            <w:pPr>
              <w:spacing w:line="276" w:lineRule="auto"/>
              <w:rPr>
                <w:rFonts w:ascii="新宋体" w:hAnsi="新宋体" w:eastAsia="新宋体"/>
                <w:color w:val="auto"/>
              </w:rPr>
            </w:pPr>
            <w:r>
              <w:rPr>
                <w:rFonts w:hint="eastAsia" w:ascii="新宋体" w:hAnsi="新宋体" w:eastAsia="新宋体"/>
                <w:color w:val="auto"/>
              </w:rPr>
              <w:t>投标有效期</w:t>
            </w:r>
          </w:p>
        </w:tc>
        <w:tc>
          <w:tcPr>
            <w:tcW w:w="6239" w:type="dxa"/>
            <w:vAlign w:val="center"/>
          </w:tcPr>
          <w:p>
            <w:pPr>
              <w:spacing w:line="276" w:lineRule="auto"/>
              <w:rPr>
                <w:rFonts w:ascii="新宋体" w:hAnsi="新宋体" w:eastAsia="新宋体"/>
                <w:color w:val="auto"/>
              </w:rPr>
            </w:pPr>
            <w:r>
              <w:rPr>
                <w:rFonts w:hint="eastAsia" w:ascii="新宋体" w:hAnsi="新宋体" w:eastAsia="新宋体"/>
                <w:color w:val="auto"/>
                <w:u w:val="single"/>
              </w:rPr>
              <w:t>120</w:t>
            </w:r>
            <w:r>
              <w:rPr>
                <w:rFonts w:ascii="新宋体" w:hAnsi="新宋体" w:eastAsia="新宋体"/>
                <w:color w:val="auto"/>
                <w:u w:val="single"/>
              </w:rPr>
              <w:t>日历天</w:t>
            </w:r>
            <w:r>
              <w:rPr>
                <w:rFonts w:ascii="新宋体" w:hAnsi="新宋体" w:eastAsia="新宋体"/>
                <w:color w:val="auto"/>
              </w:rPr>
              <w:t>（从投标截止之日算起）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color w:val="auto"/>
              </w:rPr>
            </w:pPr>
            <w:r>
              <w:rPr>
                <w:rFonts w:hint="eastAsia" w:ascii="新宋体" w:hAnsi="新宋体" w:eastAsia="新宋体"/>
                <w:color w:val="auto"/>
              </w:rPr>
              <w:t>3</w:t>
            </w:r>
          </w:p>
        </w:tc>
        <w:tc>
          <w:tcPr>
            <w:tcW w:w="2012" w:type="dxa"/>
            <w:vAlign w:val="center"/>
          </w:tcPr>
          <w:p>
            <w:pPr>
              <w:spacing w:line="276" w:lineRule="auto"/>
              <w:rPr>
                <w:rFonts w:ascii="新宋体" w:hAnsi="新宋体" w:eastAsia="新宋体"/>
                <w:color w:val="auto"/>
              </w:rPr>
            </w:pPr>
            <w:r>
              <w:rPr>
                <w:rFonts w:hint="eastAsia" w:ascii="新宋体" w:hAnsi="新宋体" w:eastAsia="新宋体"/>
                <w:color w:val="auto"/>
              </w:rPr>
              <w:t>投标人的替代方案</w:t>
            </w:r>
          </w:p>
        </w:tc>
        <w:tc>
          <w:tcPr>
            <w:tcW w:w="6239" w:type="dxa"/>
            <w:vAlign w:val="center"/>
          </w:tcPr>
          <w:p>
            <w:pPr>
              <w:spacing w:line="276" w:lineRule="auto"/>
              <w:rPr>
                <w:rFonts w:ascii="新宋体" w:hAnsi="新宋体" w:eastAsia="新宋体"/>
                <w:color w:val="auto"/>
              </w:rPr>
            </w:pPr>
            <w:r>
              <w:rPr>
                <w:rFonts w:hint="eastAsia" w:ascii="新宋体" w:hAnsi="新宋体" w:eastAsia="新宋体"/>
                <w:color w:val="auto"/>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color w:val="auto"/>
              </w:rPr>
            </w:pPr>
            <w:r>
              <w:rPr>
                <w:rFonts w:hint="eastAsia" w:ascii="新宋体" w:hAnsi="新宋体" w:eastAsia="新宋体"/>
                <w:color w:val="auto"/>
              </w:rPr>
              <w:t>4</w:t>
            </w:r>
          </w:p>
        </w:tc>
        <w:tc>
          <w:tcPr>
            <w:tcW w:w="2012" w:type="dxa"/>
            <w:vAlign w:val="center"/>
          </w:tcPr>
          <w:p>
            <w:pPr>
              <w:spacing w:line="276" w:lineRule="auto"/>
              <w:rPr>
                <w:rFonts w:ascii="新宋体" w:hAnsi="新宋体" w:eastAsia="新宋体"/>
                <w:color w:val="auto"/>
              </w:rPr>
            </w:pPr>
            <w:r>
              <w:rPr>
                <w:rFonts w:hint="eastAsia" w:ascii="新宋体" w:hAnsi="新宋体" w:eastAsia="新宋体"/>
                <w:color w:val="auto"/>
              </w:rPr>
              <w:t>投标文件的投递</w:t>
            </w:r>
          </w:p>
        </w:tc>
        <w:tc>
          <w:tcPr>
            <w:tcW w:w="6239" w:type="dxa"/>
            <w:vAlign w:val="center"/>
          </w:tcPr>
          <w:p>
            <w:pPr>
              <w:spacing w:line="276" w:lineRule="auto"/>
              <w:rPr>
                <w:rFonts w:ascii="新宋体" w:hAnsi="新宋体" w:eastAsia="新宋体"/>
                <w:color w:val="auto"/>
              </w:rPr>
            </w:pPr>
            <w:r>
              <w:rPr>
                <w:rFonts w:hint="eastAsia" w:ascii="新宋体" w:hAnsi="新宋体" w:eastAsia="新宋体"/>
                <w:snapToGrid w:val="0"/>
                <w:color w:val="auto"/>
                <w:szCs w:val="21"/>
                <w:lang w:val="zh-CN"/>
              </w:rPr>
              <w:t>本项目实行</w:t>
            </w:r>
            <w:bookmarkStart w:id="0" w:name="投递标书方式"/>
            <w:r>
              <w:rPr>
                <w:rFonts w:hint="eastAsia" w:ascii="新宋体" w:hAnsi="新宋体" w:eastAsia="新宋体"/>
                <w:snapToGrid w:val="0"/>
                <w:color w:val="auto"/>
                <w:szCs w:val="21"/>
                <w:u w:val="single"/>
                <w:lang w:val="zh-CN"/>
              </w:rPr>
              <w:t>网下投标</w:t>
            </w:r>
            <w:bookmarkEnd w:id="0"/>
            <w:r>
              <w:rPr>
                <w:rFonts w:hint="eastAsia" w:ascii="新宋体" w:hAnsi="新宋体" w:eastAsia="新宋体"/>
                <w:snapToGrid w:val="0"/>
                <w:color w:val="auto"/>
                <w:szCs w:val="21"/>
                <w:lang w:val="zh-CN"/>
              </w:rPr>
              <w:t>，按照招标文件的要求提交纸质文件正本1份，副本4份，电子文件1份（WORD和PDF格式电子文档各1份）电子文档要求U盘，PDF格式有签字盖章，不留密码，无病毒，不压缩，密封提交，所有</w:t>
            </w:r>
            <w:r>
              <w:rPr>
                <w:rFonts w:hint="eastAsia" w:ascii="新宋体" w:hAnsi="新宋体" w:eastAsia="新宋体" w:cs="宋体"/>
                <w:snapToGrid w:val="0"/>
                <w:color w:val="auto"/>
                <w:szCs w:val="21"/>
                <w:lang w:val="zh-CN"/>
              </w:rPr>
              <w:t>应答文件</w:t>
            </w:r>
            <w:r>
              <w:rPr>
                <w:rFonts w:ascii="新宋体" w:hAnsi="新宋体" w:eastAsia="新宋体"/>
                <w:snapToGrid w:val="0"/>
                <w:color w:val="auto"/>
                <w:szCs w:val="21"/>
                <w:lang w:val="zh-CN"/>
              </w:rPr>
              <w:t>应于</w:t>
            </w:r>
            <w:r>
              <w:rPr>
                <w:rFonts w:hint="eastAsia" w:ascii="新宋体" w:hAnsi="新宋体" w:eastAsia="新宋体"/>
                <w:snapToGrid w:val="0"/>
                <w:color w:val="auto"/>
                <w:szCs w:val="21"/>
                <w:lang w:val="zh-CN"/>
              </w:rPr>
              <w:t>递交截止时间</w:t>
            </w:r>
            <w:r>
              <w:rPr>
                <w:rFonts w:ascii="新宋体" w:hAnsi="新宋体" w:eastAsia="新宋体"/>
                <w:snapToGrid w:val="0"/>
                <w:color w:val="auto"/>
                <w:szCs w:val="21"/>
                <w:lang w:val="zh-CN"/>
              </w:rPr>
              <w:t>之前</w:t>
            </w:r>
            <w:r>
              <w:rPr>
                <w:rFonts w:hint="eastAsia" w:ascii="新宋体" w:hAnsi="新宋体" w:eastAsia="新宋体"/>
                <w:snapToGrid w:val="0"/>
                <w:color w:val="auto"/>
                <w:szCs w:val="21"/>
                <w:lang w:val="zh-CN"/>
              </w:rPr>
              <w:t>送达招标文件规定的地址</w:t>
            </w:r>
            <w:r>
              <w:rPr>
                <w:rFonts w:ascii="新宋体" w:hAnsi="新宋体" w:eastAsia="新宋体"/>
                <w:snapToGrid w:val="0"/>
                <w:color w:val="auto"/>
                <w:szCs w:val="21"/>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color w:val="auto"/>
              </w:rPr>
            </w:pPr>
            <w:r>
              <w:rPr>
                <w:rFonts w:hint="eastAsia" w:ascii="新宋体" w:hAnsi="新宋体" w:eastAsia="新宋体"/>
                <w:color w:val="auto"/>
              </w:rPr>
              <w:t>5</w:t>
            </w:r>
          </w:p>
        </w:tc>
        <w:tc>
          <w:tcPr>
            <w:tcW w:w="2012" w:type="dxa"/>
            <w:vAlign w:val="center"/>
          </w:tcPr>
          <w:p>
            <w:pPr>
              <w:spacing w:line="276" w:lineRule="auto"/>
              <w:rPr>
                <w:rFonts w:ascii="新宋体" w:hAnsi="新宋体" w:eastAsia="新宋体"/>
                <w:color w:val="auto"/>
              </w:rPr>
            </w:pPr>
            <w:r>
              <w:rPr>
                <w:rFonts w:hint="eastAsia" w:ascii="新宋体" w:hAnsi="新宋体" w:eastAsia="新宋体"/>
                <w:color w:val="auto"/>
              </w:rPr>
              <w:t>履约保证金</w:t>
            </w:r>
          </w:p>
        </w:tc>
        <w:tc>
          <w:tcPr>
            <w:tcW w:w="6239" w:type="dxa"/>
            <w:vAlign w:val="center"/>
          </w:tcPr>
          <w:p>
            <w:pPr>
              <w:spacing w:line="276" w:lineRule="auto"/>
              <w:rPr>
                <w:rFonts w:ascii="新宋体" w:hAnsi="新宋体" w:eastAsia="新宋体"/>
                <w:color w:val="auto"/>
              </w:rPr>
            </w:pPr>
            <w:r>
              <w:rPr>
                <w:rFonts w:hint="eastAsia" w:ascii="新宋体" w:hAnsi="新宋体" w:eastAsia="新宋体"/>
                <w:color w:val="auto"/>
              </w:rPr>
              <w:t>_____万元或合同金额的_____%，缴纳方式：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color w:val="auto"/>
              </w:rPr>
            </w:pPr>
            <w:r>
              <w:rPr>
                <w:rFonts w:hint="eastAsia" w:ascii="新宋体" w:hAnsi="新宋体" w:eastAsia="新宋体"/>
                <w:color w:val="auto"/>
              </w:rPr>
              <w:t>6</w:t>
            </w:r>
          </w:p>
        </w:tc>
        <w:tc>
          <w:tcPr>
            <w:tcW w:w="2012" w:type="dxa"/>
            <w:vAlign w:val="center"/>
          </w:tcPr>
          <w:p>
            <w:pPr>
              <w:spacing w:line="276" w:lineRule="auto"/>
              <w:rPr>
                <w:rFonts w:ascii="新宋体" w:hAnsi="新宋体" w:eastAsia="新宋体"/>
                <w:color w:val="auto"/>
              </w:rPr>
            </w:pPr>
            <w:r>
              <w:rPr>
                <w:rFonts w:hint="eastAsia" w:ascii="新宋体" w:hAnsi="新宋体" w:eastAsia="新宋体"/>
                <w:color w:val="auto"/>
              </w:rPr>
              <w:t>中标</w:t>
            </w:r>
            <w:r>
              <w:rPr>
                <w:rFonts w:ascii="新宋体" w:hAnsi="新宋体" w:eastAsia="新宋体"/>
                <w:color w:val="auto"/>
              </w:rPr>
              <w:t>服务费</w:t>
            </w:r>
          </w:p>
        </w:tc>
        <w:tc>
          <w:tcPr>
            <w:tcW w:w="6239" w:type="dxa"/>
            <w:vAlign w:val="center"/>
          </w:tcPr>
          <w:p>
            <w:pPr>
              <w:spacing w:line="276" w:lineRule="auto"/>
              <w:rPr>
                <w:rFonts w:ascii="新宋体" w:hAnsi="新宋体" w:eastAsia="新宋体"/>
                <w:color w:val="auto"/>
              </w:rPr>
            </w:pPr>
            <w:r>
              <w:rPr>
                <w:rFonts w:hint="eastAsia" w:ascii="新宋体" w:hAnsi="新宋体" w:eastAsia="新宋体"/>
                <w:color w:val="auto"/>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pPr>
        <w:spacing w:line="360" w:lineRule="auto"/>
        <w:rPr>
          <w:rFonts w:ascii="新宋体" w:hAnsi="新宋体" w:eastAsia="新宋体"/>
          <w:b/>
          <w:color w:val="auto"/>
        </w:rPr>
      </w:pPr>
      <w:r>
        <w:rPr>
          <w:rFonts w:hint="eastAsia" w:ascii="新宋体" w:hAnsi="新宋体" w:eastAsia="新宋体"/>
          <w:color w:val="auto"/>
          <w:szCs w:val="21"/>
        </w:rPr>
        <w:t>备注：本表为通用条款相关内容的补充和明确，如与通用条款相冲突的以本表为准。</w:t>
      </w:r>
    </w:p>
    <w:p>
      <w:pPr>
        <w:rPr>
          <w:rFonts w:ascii="新宋体" w:hAnsi="新宋体" w:eastAsia="新宋体"/>
          <w:b/>
          <w:color w:val="auto"/>
        </w:rPr>
      </w:pPr>
    </w:p>
    <w:p>
      <w:pPr>
        <w:pStyle w:val="4"/>
        <w:rPr>
          <w:rFonts w:ascii="新宋体" w:hAnsi="新宋体" w:eastAsia="新宋体"/>
          <w:color w:val="auto"/>
          <w:kern w:val="44"/>
          <w:szCs w:val="28"/>
        </w:rPr>
      </w:pPr>
      <w:bookmarkStart w:id="1" w:name="_Toc128884461"/>
      <w:r>
        <w:rPr>
          <w:rFonts w:hint="eastAsia" w:ascii="新宋体" w:hAnsi="新宋体" w:eastAsia="新宋体"/>
          <w:color w:val="auto"/>
          <w:kern w:val="44"/>
          <w:szCs w:val="28"/>
        </w:rPr>
        <w:t>二、实质性条款</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
        <w:gridCol w:w="75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pPr>
              <w:spacing w:line="276" w:lineRule="auto"/>
              <w:rPr>
                <w:rFonts w:ascii="新宋体" w:hAnsi="新宋体" w:eastAsia="新宋体"/>
                <w:color w:val="auto"/>
              </w:rPr>
            </w:pPr>
            <w:r>
              <w:rPr>
                <w:rFonts w:hint="eastAsia" w:ascii="新宋体" w:hAnsi="新宋体" w:eastAsia="新宋体"/>
                <w:color w:val="auto"/>
              </w:rPr>
              <w:t>序号</w:t>
            </w:r>
          </w:p>
        </w:tc>
        <w:tc>
          <w:tcPr>
            <w:tcW w:w="7938" w:type="dxa"/>
            <w:vAlign w:val="center"/>
          </w:tcPr>
          <w:p>
            <w:pPr>
              <w:spacing w:line="276" w:lineRule="auto"/>
              <w:rPr>
                <w:rFonts w:ascii="新宋体" w:hAnsi="新宋体" w:eastAsia="新宋体"/>
                <w:color w:val="auto"/>
              </w:rPr>
            </w:pPr>
            <w:r>
              <w:rPr>
                <w:rFonts w:hint="eastAsia" w:ascii="新宋体" w:hAnsi="新宋体" w:eastAsia="新宋体"/>
                <w:color w:val="auto"/>
              </w:rPr>
              <w:t>具体内容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pPr>
              <w:spacing w:line="276" w:lineRule="auto"/>
              <w:rPr>
                <w:rFonts w:ascii="新宋体" w:hAnsi="新宋体" w:eastAsia="新宋体"/>
                <w:color w:val="auto"/>
              </w:rPr>
            </w:pPr>
            <w:r>
              <w:rPr>
                <w:rFonts w:hint="eastAsia" w:ascii="新宋体" w:hAnsi="新宋体" w:eastAsia="新宋体"/>
                <w:color w:val="auto"/>
              </w:rPr>
              <w:t>1</w:t>
            </w:r>
          </w:p>
        </w:tc>
        <w:tc>
          <w:tcPr>
            <w:tcW w:w="7938" w:type="dxa"/>
            <w:vAlign w:val="center"/>
          </w:tcPr>
          <w:p>
            <w:pPr>
              <w:spacing w:line="276" w:lineRule="auto"/>
              <w:rPr>
                <w:rFonts w:ascii="新宋体" w:hAnsi="新宋体" w:eastAsia="新宋体"/>
                <w:color w:val="auto"/>
              </w:rPr>
            </w:pPr>
            <w:r>
              <w:rPr>
                <w:rFonts w:hint="eastAsia" w:ascii="新宋体" w:hAnsi="新宋体" w:eastAsia="新宋体"/>
                <w:color w:val="auto"/>
              </w:rPr>
              <w:t>完全满足本项目服务期限的要求。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pPr>
              <w:spacing w:line="276" w:lineRule="auto"/>
              <w:rPr>
                <w:rFonts w:ascii="新宋体" w:hAnsi="新宋体" w:eastAsia="新宋体"/>
                <w:color w:val="auto"/>
              </w:rPr>
            </w:pPr>
            <w:r>
              <w:rPr>
                <w:rFonts w:hint="eastAsia" w:ascii="新宋体" w:hAnsi="新宋体" w:eastAsia="新宋体"/>
                <w:color w:val="auto"/>
              </w:rPr>
              <w:t>2</w:t>
            </w:r>
          </w:p>
        </w:tc>
        <w:tc>
          <w:tcPr>
            <w:tcW w:w="7938" w:type="dxa"/>
            <w:vAlign w:val="center"/>
          </w:tcPr>
          <w:p>
            <w:pPr>
              <w:spacing w:line="276" w:lineRule="auto"/>
              <w:rPr>
                <w:rFonts w:ascii="新宋体" w:hAnsi="新宋体" w:eastAsia="新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pPr>
              <w:spacing w:line="276" w:lineRule="auto"/>
              <w:rPr>
                <w:rFonts w:ascii="新宋体" w:hAnsi="新宋体" w:eastAsia="新宋体"/>
                <w:color w:val="auto"/>
              </w:rPr>
            </w:pPr>
            <w:r>
              <w:rPr>
                <w:rFonts w:hint="eastAsia" w:ascii="新宋体" w:hAnsi="新宋体" w:eastAsia="新宋体"/>
                <w:color w:val="auto"/>
              </w:rPr>
              <w:t>……</w:t>
            </w:r>
          </w:p>
        </w:tc>
        <w:tc>
          <w:tcPr>
            <w:tcW w:w="7938" w:type="dxa"/>
            <w:vAlign w:val="center"/>
          </w:tcPr>
          <w:p>
            <w:pPr>
              <w:spacing w:line="276" w:lineRule="auto"/>
              <w:rPr>
                <w:rFonts w:ascii="新宋体" w:hAnsi="新宋体" w:eastAsia="新宋体"/>
                <w:color w:val="auto"/>
              </w:rPr>
            </w:pPr>
          </w:p>
        </w:tc>
      </w:tr>
    </w:tbl>
    <w:p>
      <w:pPr>
        <w:widowControl/>
        <w:spacing w:after="100" w:afterAutospacing="1" w:line="276" w:lineRule="auto"/>
        <w:jc w:val="left"/>
        <w:rPr>
          <w:rFonts w:ascii="新宋体" w:hAnsi="新宋体" w:eastAsia="新宋体"/>
          <w:color w:val="auto"/>
          <w:kern w:val="0"/>
          <w:szCs w:val="21"/>
        </w:rPr>
      </w:pPr>
      <w:r>
        <w:rPr>
          <w:rFonts w:hint="eastAsia" w:ascii="新宋体" w:hAnsi="新宋体" w:eastAsia="新宋体"/>
          <w:color w:val="auto"/>
          <w:kern w:val="0"/>
          <w:szCs w:val="21"/>
        </w:rPr>
        <w:t>注：上表所列内容为不可负偏离条款</w:t>
      </w:r>
    </w:p>
    <w:bookmarkEnd w:id="1"/>
    <w:p>
      <w:pPr>
        <w:pStyle w:val="4"/>
        <w:rPr>
          <w:rFonts w:ascii="新宋体" w:hAnsi="新宋体" w:eastAsia="新宋体"/>
          <w:color w:val="auto"/>
          <w:kern w:val="44"/>
          <w:szCs w:val="28"/>
        </w:rPr>
      </w:pPr>
      <w:r>
        <w:rPr>
          <w:rFonts w:hint="eastAsia" w:ascii="新宋体" w:hAnsi="新宋体" w:eastAsia="新宋体"/>
          <w:color w:val="auto"/>
          <w:kern w:val="44"/>
          <w:szCs w:val="28"/>
        </w:rPr>
        <w:t>三、项目概况</w:t>
      </w:r>
    </w:p>
    <w:p>
      <w:pPr>
        <w:spacing w:line="360" w:lineRule="auto"/>
        <w:rPr>
          <w:rFonts w:ascii="新宋体" w:hAnsi="新宋体" w:eastAsia="新宋体" w:cs="宋体"/>
          <w:color w:val="auto"/>
          <w:szCs w:val="21"/>
        </w:rPr>
      </w:pPr>
      <w:r>
        <w:rPr>
          <w:rFonts w:hint="eastAsia" w:ascii="新宋体" w:hAnsi="新宋体" w:eastAsia="新宋体" w:cs="宋体"/>
          <w:color w:val="auto"/>
          <w:szCs w:val="21"/>
        </w:rPr>
        <w:t>（一）</w:t>
      </w:r>
      <w:r>
        <w:rPr>
          <w:rFonts w:ascii="新宋体" w:hAnsi="新宋体" w:eastAsia="新宋体" w:cs="宋体"/>
          <w:color w:val="auto"/>
          <w:szCs w:val="21"/>
        </w:rPr>
        <w:t>预算</w:t>
      </w:r>
      <w:r>
        <w:rPr>
          <w:rFonts w:hint="eastAsia" w:ascii="新宋体" w:hAnsi="新宋体" w:eastAsia="新宋体" w:cs="宋体"/>
          <w:color w:val="auto"/>
          <w:szCs w:val="21"/>
        </w:rPr>
        <w:t>金额: 962600，</w:t>
      </w:r>
      <w:r>
        <w:rPr>
          <w:rFonts w:ascii="新宋体" w:hAnsi="新宋体" w:eastAsia="新宋体" w:cs="宋体"/>
          <w:color w:val="auto"/>
          <w:szCs w:val="21"/>
        </w:rPr>
        <w:t>最高投标限价</w:t>
      </w:r>
      <w:r>
        <w:rPr>
          <w:rFonts w:hint="eastAsia" w:ascii="新宋体" w:hAnsi="新宋体" w:eastAsia="新宋体" w:cs="宋体"/>
          <w:color w:val="auto"/>
          <w:szCs w:val="21"/>
        </w:rPr>
        <w:t>:962600</w:t>
      </w:r>
    </w:p>
    <w:p>
      <w:pPr>
        <w:spacing w:line="360" w:lineRule="auto"/>
        <w:rPr>
          <w:rFonts w:ascii="新宋体" w:hAnsi="新宋体" w:eastAsia="新宋体" w:cs="宋体"/>
          <w:color w:val="auto"/>
          <w:szCs w:val="21"/>
        </w:rPr>
      </w:pPr>
      <w:r>
        <w:rPr>
          <w:rFonts w:hint="eastAsia" w:ascii="新宋体" w:hAnsi="新宋体" w:eastAsia="新宋体" w:cs="宋体"/>
          <w:color w:val="auto"/>
          <w:szCs w:val="21"/>
        </w:rPr>
        <w:t xml:space="preserve">（二）项目概况: </w:t>
      </w:r>
      <w:r>
        <w:rPr>
          <w:rFonts w:hint="eastAsia"/>
          <w:color w:val="auto"/>
        </w:rPr>
        <w:t>影像资料不仅是重</w:t>
      </w:r>
      <w:r>
        <w:rPr>
          <w:rFonts w:hint="eastAsia"/>
          <w:color w:val="auto"/>
          <w:lang w:val="en-US" w:eastAsia="zh-CN"/>
        </w:rPr>
        <w:t>要</w:t>
      </w:r>
      <w:r>
        <w:rPr>
          <w:rFonts w:hint="eastAsia"/>
          <w:color w:val="auto"/>
        </w:rPr>
        <w:t>政务、</w:t>
      </w:r>
      <w:r>
        <w:rPr>
          <w:rFonts w:hint="eastAsia"/>
          <w:color w:val="auto"/>
          <w:lang w:val="en-US" w:eastAsia="zh-CN"/>
        </w:rPr>
        <w:t>重大</w:t>
      </w:r>
      <w:r>
        <w:rPr>
          <w:rFonts w:hint="eastAsia"/>
          <w:color w:val="auto"/>
        </w:rPr>
        <w:t>活动和</w:t>
      </w:r>
      <w:r>
        <w:rPr>
          <w:rFonts w:hint="eastAsia"/>
          <w:color w:val="auto"/>
          <w:lang w:val="en-US" w:eastAsia="zh-CN"/>
        </w:rPr>
        <w:t>重要</w:t>
      </w:r>
      <w:r>
        <w:rPr>
          <w:rFonts w:hint="eastAsia"/>
          <w:color w:val="auto"/>
        </w:rPr>
        <w:t>工作的见证和回顾，还将为我局摄制宣传片和汇报片、编撰大事记等提供素材。为此，我处拟委托专业机构提供2023年摄影摄像保障服务，真实记录我局的重要政务、重大活动和重要工作的影像资料。</w:t>
      </w:r>
    </w:p>
    <w:p>
      <w:pPr>
        <w:rPr>
          <w:rFonts w:ascii="新宋体" w:hAnsi="新宋体" w:eastAsia="新宋体"/>
          <w:b/>
          <w:bCs/>
          <w:color w:val="auto"/>
          <w:szCs w:val="21"/>
        </w:rPr>
      </w:pPr>
    </w:p>
    <w:p>
      <w:pPr>
        <w:pStyle w:val="4"/>
        <w:rPr>
          <w:rFonts w:ascii="新宋体" w:hAnsi="新宋体" w:eastAsia="新宋体"/>
          <w:color w:val="auto"/>
          <w:kern w:val="44"/>
          <w:szCs w:val="28"/>
        </w:rPr>
      </w:pPr>
      <w:r>
        <w:rPr>
          <w:rFonts w:hint="eastAsia" w:ascii="新宋体" w:hAnsi="新宋体" w:eastAsia="新宋体"/>
          <w:color w:val="auto"/>
          <w:kern w:val="44"/>
          <w:szCs w:val="28"/>
        </w:rPr>
        <w:t>四、项目技术要求</w:t>
      </w:r>
    </w:p>
    <w:p>
      <w:pPr>
        <w:rPr>
          <w:rFonts w:hint="eastAsia" w:ascii="新宋体" w:hAnsi="新宋体" w:eastAsia="新宋体"/>
          <w:b w:val="0"/>
          <w:bCs/>
          <w:color w:val="auto"/>
        </w:rPr>
      </w:pPr>
      <w:r>
        <w:rPr>
          <w:rFonts w:hint="eastAsia" w:ascii="新宋体" w:hAnsi="新宋体" w:eastAsia="新宋体"/>
          <w:b w:val="0"/>
          <w:bCs/>
          <w:color w:val="auto"/>
        </w:rPr>
        <w:t>乙方根据甲方需求，留存甲方重要政务、重大活动和重要工作的影像资料，利用素材为甲方制作宣传片及画册。</w:t>
      </w:r>
    </w:p>
    <w:p>
      <w:pPr>
        <w:rPr>
          <w:rFonts w:ascii="新宋体" w:hAnsi="新宋体" w:eastAsia="新宋体"/>
          <w:b w:val="0"/>
          <w:bCs/>
          <w:color w:val="auto"/>
        </w:rPr>
      </w:pPr>
      <w:r>
        <w:rPr>
          <w:rFonts w:hint="eastAsia" w:ascii="新宋体" w:hAnsi="新宋体" w:eastAsia="新宋体"/>
          <w:b w:val="0"/>
          <w:bCs/>
          <w:color w:val="auto"/>
        </w:rPr>
        <w:t>①制作1部工作总结片，时长约10分钟。</w:t>
      </w:r>
    </w:p>
    <w:p>
      <w:pPr>
        <w:rPr>
          <w:rFonts w:hint="eastAsia" w:ascii="新宋体" w:hAnsi="新宋体" w:eastAsia="新宋体"/>
          <w:b w:val="0"/>
          <w:bCs/>
          <w:color w:val="auto"/>
        </w:rPr>
      </w:pPr>
      <w:r>
        <w:rPr>
          <w:rFonts w:hint="eastAsia" w:ascii="新宋体" w:hAnsi="新宋体" w:eastAsia="新宋体"/>
          <w:b w:val="0"/>
          <w:bCs/>
          <w:color w:val="auto"/>
        </w:rPr>
        <w:t>②制作</w:t>
      </w:r>
      <w:r>
        <w:rPr>
          <w:rFonts w:hint="eastAsia" w:ascii="新宋体" w:hAnsi="新宋体" w:eastAsia="新宋体"/>
          <w:b w:val="0"/>
          <w:bCs/>
          <w:color w:val="auto"/>
          <w:lang w:val="en-US" w:eastAsia="zh-CN"/>
        </w:rPr>
        <w:t>3</w:t>
      </w:r>
      <w:r>
        <w:rPr>
          <w:rFonts w:hint="eastAsia" w:ascii="新宋体" w:hAnsi="新宋体" w:eastAsia="新宋体"/>
          <w:b w:val="0"/>
          <w:bCs/>
          <w:color w:val="auto"/>
        </w:rPr>
        <w:t>部</w:t>
      </w:r>
      <w:r>
        <w:rPr>
          <w:rFonts w:hint="eastAsia" w:ascii="新宋体" w:hAnsi="新宋体" w:eastAsia="新宋体"/>
          <w:b w:val="0"/>
          <w:bCs/>
          <w:color w:val="auto"/>
          <w:lang w:val="en-US" w:eastAsia="zh-CN"/>
        </w:rPr>
        <w:t>专题</w:t>
      </w:r>
      <w:r>
        <w:rPr>
          <w:rFonts w:hint="eastAsia" w:ascii="新宋体" w:hAnsi="新宋体" w:eastAsia="新宋体"/>
          <w:b w:val="0"/>
          <w:bCs/>
          <w:color w:val="auto"/>
        </w:rPr>
        <w:t>宣传片，时长</w:t>
      </w:r>
      <w:r>
        <w:rPr>
          <w:rFonts w:hint="eastAsia" w:ascii="新宋体" w:hAnsi="新宋体" w:eastAsia="新宋体"/>
          <w:b w:val="0"/>
          <w:bCs/>
          <w:color w:val="auto"/>
          <w:lang w:val="en-US" w:eastAsia="zh-CN"/>
        </w:rPr>
        <w:t>各约8分钟、10分钟、6</w:t>
      </w:r>
      <w:r>
        <w:rPr>
          <w:rFonts w:hint="eastAsia" w:ascii="新宋体" w:hAnsi="新宋体" w:eastAsia="新宋体"/>
          <w:b w:val="0"/>
          <w:bCs/>
          <w:color w:val="auto"/>
        </w:rPr>
        <w:t>分钟。</w:t>
      </w:r>
    </w:p>
    <w:p>
      <w:pPr>
        <w:rPr>
          <w:rFonts w:ascii="新宋体" w:hAnsi="新宋体" w:eastAsia="新宋体"/>
          <w:b w:val="0"/>
          <w:bCs/>
          <w:color w:val="auto"/>
        </w:rPr>
      </w:pPr>
      <w:r>
        <w:rPr>
          <w:rFonts w:hint="default" w:ascii="新宋体" w:hAnsi="新宋体" w:eastAsia="新宋体"/>
          <w:b w:val="0"/>
          <w:bCs/>
          <w:color w:val="auto"/>
          <w:lang w:eastAsia="zh-CN"/>
        </w:rPr>
        <w:t>③</w:t>
      </w:r>
      <w:r>
        <w:rPr>
          <w:rFonts w:hint="eastAsia" w:ascii="新宋体" w:hAnsi="新宋体" w:eastAsia="新宋体"/>
          <w:b w:val="0"/>
          <w:bCs/>
          <w:color w:val="auto"/>
        </w:rPr>
        <w:t>设计制作</w:t>
      </w:r>
      <w:r>
        <w:rPr>
          <w:rFonts w:hint="eastAsia" w:ascii="新宋体" w:hAnsi="新宋体" w:eastAsia="新宋体"/>
          <w:b w:val="0"/>
          <w:bCs/>
          <w:color w:val="auto"/>
          <w:lang w:val="en-US" w:eastAsia="zh-CN"/>
        </w:rPr>
        <w:t>年度工作</w:t>
      </w:r>
      <w:r>
        <w:rPr>
          <w:rFonts w:hint="eastAsia" w:ascii="新宋体" w:hAnsi="新宋体" w:eastAsia="新宋体"/>
          <w:b w:val="0"/>
          <w:bCs/>
          <w:color w:val="auto"/>
        </w:rPr>
        <w:t>画册，并印制不少于</w:t>
      </w:r>
      <w:r>
        <w:rPr>
          <w:rFonts w:hint="eastAsia" w:ascii="新宋体" w:hAnsi="新宋体" w:eastAsia="新宋体"/>
          <w:b w:val="0"/>
          <w:bCs/>
          <w:color w:val="auto"/>
          <w:lang w:val="en-US" w:eastAsia="zh-CN"/>
        </w:rPr>
        <w:t>50</w:t>
      </w:r>
      <w:r>
        <w:rPr>
          <w:rFonts w:hint="eastAsia" w:ascii="新宋体" w:hAnsi="新宋体" w:eastAsia="新宋体"/>
          <w:b w:val="0"/>
          <w:bCs/>
          <w:color w:val="auto"/>
        </w:rPr>
        <w:t>本。</w:t>
      </w:r>
    </w:p>
    <w:p>
      <w:pPr>
        <w:rPr>
          <w:rFonts w:ascii="新宋体" w:hAnsi="新宋体" w:eastAsia="新宋体"/>
          <w:b/>
          <w:color w:val="auto"/>
        </w:rPr>
      </w:pPr>
    </w:p>
    <w:p>
      <w:pPr>
        <w:pStyle w:val="4"/>
        <w:rPr>
          <w:rFonts w:ascii="新宋体" w:hAnsi="新宋体" w:eastAsia="新宋体"/>
          <w:color w:val="auto"/>
          <w:kern w:val="44"/>
          <w:szCs w:val="28"/>
        </w:rPr>
      </w:pPr>
      <w:r>
        <w:rPr>
          <w:rFonts w:hint="eastAsia" w:ascii="新宋体" w:hAnsi="新宋体" w:eastAsia="新宋体"/>
          <w:color w:val="auto"/>
          <w:kern w:val="44"/>
          <w:szCs w:val="28"/>
        </w:rPr>
        <w:t>五、项目商务要求</w:t>
      </w:r>
    </w:p>
    <w:p>
      <w:pPr>
        <w:spacing w:line="360" w:lineRule="auto"/>
        <w:rPr>
          <w:rFonts w:hint="eastAsia" w:ascii="新宋体" w:hAnsi="新宋体" w:eastAsia="新宋体" w:cs="宋体"/>
          <w:color w:val="auto"/>
          <w:szCs w:val="21"/>
        </w:rPr>
      </w:pPr>
      <w:r>
        <w:rPr>
          <w:rFonts w:hint="eastAsia" w:ascii="新宋体" w:hAnsi="新宋体" w:eastAsia="新宋体" w:cs="宋体"/>
          <w:color w:val="auto"/>
          <w:szCs w:val="21"/>
        </w:rPr>
        <w:t>（一）服务期限：自合同签订之日起至2023年12月31日。</w:t>
      </w:r>
    </w:p>
    <w:p>
      <w:pPr>
        <w:spacing w:line="360" w:lineRule="auto"/>
        <w:rPr>
          <w:rFonts w:hint="eastAsia" w:ascii="新宋体" w:hAnsi="新宋体" w:eastAsia="新宋体" w:cs="宋体"/>
          <w:color w:val="auto"/>
          <w:szCs w:val="21"/>
        </w:rPr>
      </w:pPr>
      <w:r>
        <w:rPr>
          <w:rFonts w:hint="eastAsia" w:ascii="新宋体" w:hAnsi="新宋体" w:eastAsia="新宋体" w:cs="宋体"/>
          <w:color w:val="auto"/>
          <w:szCs w:val="21"/>
        </w:rPr>
        <w:t>（二）质量要求：</w:t>
      </w:r>
    </w:p>
    <w:p>
      <w:pPr>
        <w:spacing w:line="360" w:lineRule="auto"/>
        <w:rPr>
          <w:rFonts w:hint="eastAsia" w:ascii="新宋体" w:hAnsi="新宋体" w:eastAsia="新宋体" w:cs="宋体"/>
          <w:color w:val="auto"/>
          <w:szCs w:val="21"/>
        </w:rPr>
      </w:pPr>
      <w:r>
        <w:rPr>
          <w:rFonts w:hint="eastAsia" w:ascii="新宋体" w:hAnsi="新宋体" w:eastAsia="新宋体" w:cs="宋体"/>
          <w:color w:val="auto"/>
          <w:szCs w:val="21"/>
        </w:rPr>
        <w:t>1.项目质量需通过采购人评价。</w:t>
      </w:r>
    </w:p>
    <w:p>
      <w:pPr>
        <w:spacing w:line="360" w:lineRule="auto"/>
        <w:rPr>
          <w:rFonts w:hint="eastAsia" w:ascii="新宋体" w:hAnsi="新宋体" w:eastAsia="新宋体" w:cs="宋体"/>
          <w:color w:val="auto"/>
          <w:szCs w:val="21"/>
        </w:rPr>
      </w:pPr>
      <w:r>
        <w:rPr>
          <w:rFonts w:hint="eastAsia" w:ascii="新宋体" w:hAnsi="新宋体" w:eastAsia="新宋体" w:cs="宋体"/>
          <w:color w:val="auto"/>
          <w:szCs w:val="21"/>
        </w:rPr>
        <w:t>2.违约责任：</w:t>
      </w:r>
    </w:p>
    <w:p>
      <w:pPr>
        <w:spacing w:line="360" w:lineRule="auto"/>
        <w:rPr>
          <w:rFonts w:hint="eastAsia" w:ascii="新宋体" w:hAnsi="新宋体" w:eastAsia="新宋体" w:cs="宋体"/>
          <w:color w:val="auto"/>
          <w:szCs w:val="21"/>
        </w:rPr>
      </w:pPr>
      <w:r>
        <w:rPr>
          <w:rFonts w:hint="eastAsia" w:ascii="新宋体" w:hAnsi="新宋体" w:eastAsia="新宋体" w:cs="宋体"/>
          <w:color w:val="auto"/>
          <w:szCs w:val="21"/>
        </w:rPr>
        <w:t>（1）在合同履行过程中，除不可抗力因素外，双方因违约或重大过失造成对方经济损失的应当赔偿。</w:t>
      </w:r>
    </w:p>
    <w:p>
      <w:pPr>
        <w:spacing w:line="360" w:lineRule="auto"/>
        <w:rPr>
          <w:rFonts w:hint="eastAsia" w:ascii="新宋体" w:hAnsi="新宋体" w:eastAsia="新宋体" w:cs="宋体"/>
          <w:color w:val="auto"/>
          <w:szCs w:val="21"/>
        </w:rPr>
      </w:pPr>
      <w:r>
        <w:rPr>
          <w:rFonts w:hint="eastAsia" w:ascii="新宋体" w:hAnsi="新宋体" w:eastAsia="新宋体" w:cs="宋体"/>
          <w:color w:val="auto"/>
          <w:szCs w:val="21"/>
        </w:rPr>
        <w:t>（2）乙方提供的项目成果质量不符合本合同约定的要求的，乙方应负责无偿采取补救措施或重新开展项目，直至达到本合同约定的质量要求。</w:t>
      </w:r>
    </w:p>
    <w:p>
      <w:pPr>
        <w:spacing w:line="360" w:lineRule="auto"/>
        <w:rPr>
          <w:rFonts w:hint="eastAsia" w:ascii="新宋体" w:hAnsi="新宋体" w:eastAsia="新宋体" w:cs="宋体"/>
          <w:color w:val="auto"/>
          <w:szCs w:val="21"/>
        </w:rPr>
      </w:pPr>
      <w:r>
        <w:rPr>
          <w:rFonts w:hint="eastAsia" w:ascii="新宋体" w:hAnsi="新宋体" w:eastAsia="新宋体" w:cs="宋体"/>
          <w:color w:val="auto"/>
          <w:szCs w:val="21"/>
        </w:rPr>
        <w:t>（3）甲方逾期付款的，应按项目价款总额每日5‰的标准向乙方支付逾期违约金。</w:t>
      </w:r>
    </w:p>
    <w:p>
      <w:pPr>
        <w:spacing w:line="360" w:lineRule="auto"/>
        <w:rPr>
          <w:rFonts w:hint="eastAsia" w:ascii="新宋体" w:hAnsi="新宋体" w:eastAsia="新宋体" w:cs="宋体"/>
          <w:color w:val="auto"/>
          <w:szCs w:val="21"/>
        </w:rPr>
      </w:pPr>
      <w:r>
        <w:rPr>
          <w:rFonts w:hint="eastAsia" w:ascii="新宋体" w:hAnsi="新宋体" w:eastAsia="新宋体" w:cs="宋体"/>
          <w:color w:val="auto"/>
          <w:szCs w:val="21"/>
        </w:rPr>
        <w:t>（4）乙方迟延交付合格的项目成果的，应按项目价款总额每日5‰的标准向甲方支付违约金。</w:t>
      </w:r>
    </w:p>
    <w:p>
      <w:pPr>
        <w:spacing w:line="360" w:lineRule="auto"/>
        <w:rPr>
          <w:rFonts w:hint="eastAsia" w:ascii="新宋体" w:hAnsi="新宋体" w:eastAsia="新宋体" w:cs="宋体"/>
          <w:color w:val="auto"/>
          <w:szCs w:val="21"/>
        </w:rPr>
      </w:pPr>
      <w:r>
        <w:rPr>
          <w:rFonts w:hint="eastAsia" w:ascii="新宋体" w:hAnsi="新宋体" w:eastAsia="新宋体" w:cs="宋体"/>
          <w:color w:val="auto"/>
          <w:szCs w:val="21"/>
        </w:rPr>
        <w:t>（5）任何一方不履行本协议之义务或履行义务不符合约定的，在本协议终止前，应当承担继续履行，采取补救措施或者赔偿损失等违约责任，守约方应获赔偿范围亦应当包括因追究违约方的违约责任而产生的诉讼费、保全费、律师费、出具保函的费用、差旅费及其他合理费用。</w:t>
      </w:r>
    </w:p>
    <w:p>
      <w:pPr>
        <w:spacing w:line="360" w:lineRule="auto"/>
        <w:rPr>
          <w:rFonts w:hint="eastAsia" w:ascii="新宋体" w:hAnsi="新宋体" w:eastAsia="新宋体" w:cs="宋体"/>
          <w:color w:val="auto"/>
          <w:szCs w:val="21"/>
        </w:rPr>
      </w:pPr>
      <w:r>
        <w:rPr>
          <w:rFonts w:hint="eastAsia" w:ascii="新宋体" w:hAnsi="新宋体" w:eastAsia="新宋体" w:cs="宋体"/>
          <w:color w:val="auto"/>
          <w:szCs w:val="21"/>
        </w:rPr>
        <w:t>（三）付款方式：本项目分三期付款。第一次支付：合同签署后，按合同规定，采购人支付项目合同总额的60%；第二次支付：按合同要求，履约期间，中标人提交相关资料，通过验收后，采购人支付项目合同总额的30%；第三次支付：按合同要求，完成相关工作，中标人提交相关资料，通过验收后，采购人支付项目合同总额的10%。</w:t>
      </w:r>
    </w:p>
    <w:p>
      <w:pPr>
        <w:spacing w:line="360" w:lineRule="auto"/>
        <w:rPr>
          <w:rFonts w:hint="eastAsia" w:ascii="新宋体" w:hAnsi="新宋体" w:eastAsia="新宋体" w:cs="宋体"/>
          <w:color w:val="auto"/>
          <w:szCs w:val="21"/>
        </w:rPr>
      </w:pPr>
      <w:r>
        <w:rPr>
          <w:rFonts w:hint="eastAsia" w:ascii="新宋体" w:hAnsi="新宋体" w:eastAsia="新宋体" w:cs="宋体"/>
          <w:color w:val="auto"/>
          <w:szCs w:val="21"/>
        </w:rPr>
        <w:t>中标人需在采购人付款前向采购人开具正式发票进行结算。</w:t>
      </w:r>
    </w:p>
    <w:p>
      <w:pPr>
        <w:spacing w:line="360" w:lineRule="auto"/>
        <w:rPr>
          <w:rFonts w:hint="eastAsia" w:ascii="新宋体" w:hAnsi="新宋体" w:eastAsia="新宋体" w:cs="宋体"/>
          <w:color w:val="auto"/>
          <w:szCs w:val="21"/>
        </w:rPr>
      </w:pPr>
      <w:r>
        <w:rPr>
          <w:rFonts w:hint="eastAsia" w:ascii="新宋体" w:hAnsi="新宋体" w:eastAsia="新宋体" w:cs="宋体"/>
          <w:color w:val="auto"/>
          <w:szCs w:val="21"/>
        </w:rPr>
        <w:t>因采购人使用的是财政资金，采购人在前款规定的付款时间为向政府采购支付部门提出办理财政支付申请手续的时间（不含政府财政支付部门审核的时间），在规定时间内提出支付申请手续后即视为采购人已经按期支付。上述款项中标人应按照采购人的要求及流程申请付款，采购人按照财政支付程序办理付款手续，且在拨款到位后支付。</w:t>
      </w:r>
    </w:p>
    <w:p>
      <w:pPr>
        <w:spacing w:line="360" w:lineRule="auto"/>
        <w:rPr>
          <w:rFonts w:ascii="新宋体" w:hAnsi="新宋体" w:eastAsia="新宋体" w:cs="宋体"/>
          <w:color w:val="auto"/>
          <w:szCs w:val="21"/>
        </w:rPr>
      </w:pPr>
      <w:r>
        <w:rPr>
          <w:rFonts w:hint="eastAsia" w:ascii="新宋体" w:hAnsi="新宋体" w:eastAsia="新宋体" w:cs="宋体"/>
          <w:color w:val="auto"/>
          <w:szCs w:val="21"/>
        </w:rPr>
        <w:t>特别提示：若因中标人原因或财政拨款问题导致的迟延支付，采购人不承担任何责任。</w:t>
      </w:r>
    </w:p>
    <w:p>
      <w:pPr>
        <w:pStyle w:val="4"/>
        <w:rPr>
          <w:rFonts w:ascii="新宋体" w:hAnsi="新宋体" w:eastAsia="新宋体"/>
          <w:color w:val="auto"/>
          <w:kern w:val="44"/>
          <w:szCs w:val="28"/>
        </w:rPr>
      </w:pPr>
      <w:r>
        <w:rPr>
          <w:rFonts w:hint="eastAsia" w:ascii="新宋体" w:hAnsi="新宋体" w:eastAsia="新宋体"/>
          <w:color w:val="auto"/>
          <w:kern w:val="44"/>
          <w:szCs w:val="28"/>
        </w:rPr>
        <w:t>六、投标报价</w:t>
      </w:r>
    </w:p>
    <w:p>
      <w:pPr>
        <w:spacing w:line="360" w:lineRule="auto"/>
        <w:rPr>
          <w:rFonts w:ascii="新宋体" w:hAnsi="新宋体" w:eastAsia="新宋体" w:cs="宋体"/>
          <w:color w:val="auto"/>
          <w:szCs w:val="21"/>
        </w:rPr>
      </w:pPr>
      <w:r>
        <w:rPr>
          <w:rFonts w:hint="eastAsia" w:ascii="新宋体" w:hAnsi="新宋体" w:eastAsia="新宋体" w:cs="宋体"/>
          <w:color w:val="auto"/>
          <w:szCs w:val="21"/>
        </w:rPr>
        <w:t>1.本项目服务费采用包干制，应包括服务成本、法定税费和企业的利润。由企业根据招标文件所提供的资料自行测算投标报价；一经中标，投标报价总价作为中标单位与采购人签定的合同金额，合同期限内不做调整。</w:t>
      </w:r>
    </w:p>
    <w:p>
      <w:pPr>
        <w:spacing w:line="360" w:lineRule="auto"/>
        <w:rPr>
          <w:rFonts w:ascii="新宋体" w:hAnsi="新宋体" w:eastAsia="新宋体" w:cs="宋体"/>
          <w:color w:val="auto"/>
          <w:szCs w:val="21"/>
        </w:rPr>
      </w:pPr>
      <w:r>
        <w:rPr>
          <w:rFonts w:hint="eastAsia" w:ascii="新宋体" w:hAnsi="新宋体" w:eastAsia="新宋体" w:cs="宋体"/>
          <w:color w:val="auto"/>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spacing w:line="360" w:lineRule="auto"/>
        <w:rPr>
          <w:rFonts w:ascii="新宋体" w:hAnsi="新宋体" w:eastAsia="新宋体" w:cs="宋体"/>
          <w:color w:val="auto"/>
          <w:szCs w:val="21"/>
        </w:rPr>
      </w:pPr>
      <w:r>
        <w:rPr>
          <w:rFonts w:hint="eastAsia" w:ascii="新宋体" w:hAnsi="新宋体" w:eastAsia="新宋体" w:cs="宋体"/>
          <w:color w:val="auto"/>
          <w:szCs w:val="21"/>
        </w:rPr>
        <w:t>3.投标人的投标报价，应是本项目招标范围和招标文件及合同条款上所列的各项内容中所述的全部，不得以任何理由予以重复，并以投标人在投标文件中提出的综合单价或总价为依据。</w:t>
      </w:r>
    </w:p>
    <w:p>
      <w:pPr>
        <w:spacing w:line="360" w:lineRule="auto"/>
        <w:rPr>
          <w:rFonts w:ascii="新宋体" w:hAnsi="新宋体" w:eastAsia="新宋体" w:cs="宋体"/>
          <w:color w:val="auto"/>
          <w:szCs w:val="21"/>
        </w:rPr>
      </w:pPr>
      <w:r>
        <w:rPr>
          <w:rFonts w:hint="eastAsia" w:ascii="新宋体" w:hAnsi="新宋体" w:eastAsia="新宋体" w:cs="宋体"/>
          <w:color w:val="auto"/>
          <w:szCs w:val="21"/>
        </w:rPr>
        <w:t>4.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pPr>
        <w:spacing w:line="360" w:lineRule="auto"/>
        <w:rPr>
          <w:rFonts w:ascii="新宋体" w:hAnsi="新宋体" w:eastAsia="新宋体" w:cs="宋体"/>
          <w:color w:val="auto"/>
          <w:szCs w:val="21"/>
        </w:rPr>
      </w:pPr>
      <w:r>
        <w:rPr>
          <w:rFonts w:hint="eastAsia" w:ascii="新宋体" w:hAnsi="新宋体" w:eastAsia="新宋体" w:cs="宋体"/>
          <w:color w:val="auto"/>
          <w:szCs w:val="21"/>
        </w:rPr>
        <w:t>5.投标人应充分了解项目的位置、情况、道路及任何其它足以影响投标报价的情况，任何因忽视或误解项目情况而导致的索赔或服务期限延长申请将不获批准。</w:t>
      </w:r>
    </w:p>
    <w:p>
      <w:pPr>
        <w:spacing w:line="360" w:lineRule="auto"/>
        <w:rPr>
          <w:rFonts w:ascii="新宋体" w:hAnsi="新宋体" w:eastAsia="新宋体" w:cs="宋体"/>
          <w:color w:val="auto"/>
          <w:szCs w:val="21"/>
        </w:rPr>
      </w:pPr>
      <w:r>
        <w:rPr>
          <w:rFonts w:hint="eastAsia" w:ascii="新宋体" w:hAnsi="新宋体" w:eastAsia="新宋体" w:cs="宋体"/>
          <w:color w:val="auto"/>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pPr>
        <w:pStyle w:val="6"/>
        <w:spacing w:before="60" w:beforeLines="25" w:after="60" w:afterLines="25"/>
        <w:ind w:firstLine="392" w:firstLineChars="187"/>
        <w:rPr>
          <w:rFonts w:ascii="新宋体" w:hAnsi="新宋体" w:eastAsia="新宋体"/>
          <w:color w:val="auto"/>
          <w:szCs w:val="21"/>
        </w:rPr>
      </w:pPr>
    </w:p>
    <w:p>
      <w:pPr>
        <w:pStyle w:val="6"/>
        <w:spacing w:before="60" w:beforeLines="25" w:after="60" w:afterLines="25"/>
        <w:ind w:firstLine="392" w:firstLineChars="187"/>
        <w:rPr>
          <w:rFonts w:ascii="新宋体" w:hAnsi="新宋体" w:eastAsia="新宋体"/>
          <w:color w:val="auto"/>
          <w:szCs w:val="21"/>
        </w:rPr>
      </w:pPr>
    </w:p>
    <w:p>
      <w:pPr>
        <w:pStyle w:val="6"/>
        <w:spacing w:before="60" w:beforeLines="25" w:after="60" w:afterLines="25"/>
        <w:ind w:firstLine="392" w:firstLineChars="187"/>
        <w:rPr>
          <w:rFonts w:ascii="新宋体" w:hAnsi="新宋体" w:eastAsia="新宋体"/>
          <w:color w:val="auto"/>
          <w:szCs w:val="21"/>
        </w:rPr>
      </w:pPr>
    </w:p>
    <w:p>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2ZWE1MzJlYzhlMzYwM2NlNjg2NGE5OWUzY2ZhZTgifQ=="/>
  </w:docVars>
  <w:rsids>
    <w:rsidRoot w:val="00000000"/>
    <w:rsid w:val="36EC62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4"/>
    <w:next w:val="5"/>
    <w:qFormat/>
    <w:uiPriority w:val="0"/>
    <w:pPr>
      <w:adjustRightInd w:val="0"/>
      <w:jc w:val="center"/>
      <w:textAlignment w:val="baseline"/>
      <w:outlineLvl w:val="1"/>
    </w:pPr>
    <w:rPr>
      <w:kern w:val="0"/>
      <w:sz w:val="24"/>
      <w:szCs w:val="20"/>
    </w:rPr>
  </w:style>
  <w:style w:type="paragraph" w:styleId="4">
    <w:name w:val="heading 3"/>
    <w:basedOn w:val="5"/>
    <w:next w:val="1"/>
    <w:qFormat/>
    <w:uiPriority w:val="0"/>
    <w:pPr>
      <w:spacing w:before="260" w:after="260" w:line="240" w:lineRule="auto"/>
      <w:outlineLvl w:val="2"/>
    </w:pPr>
    <w:rPr>
      <w:rFonts w:ascii="宋体" w:hAnsi="宋体" w:eastAsia="宋体"/>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line="360" w:lineRule="auto"/>
    </w:pPr>
    <w:rPr>
      <w:b/>
      <w:bCs/>
      <w:sz w:val="24"/>
    </w:rPr>
  </w:style>
  <w:style w:type="paragraph" w:styleId="6">
    <w:name w:val="Normal Indent"/>
    <w:basedOn w:val="1"/>
    <w:qFormat/>
    <w:uiPriority w:val="0"/>
    <w:pPr>
      <w:ind w:firstLine="420"/>
    </w:pPr>
    <w:rPr>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2023-10-09T06:58:05Z</dcterms:created>
  <dc:creator>WF</dc:creator>
  <cp:lastModifiedBy>WF</cp:lastModifiedBy>
  <dcterms:modified xsi:type="dcterms:W3CDTF">2023-10-09T06:58:28Z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DBF867B913EC47CBB917188B8D3257F2_12</vt:lpwstr>
  </property>
</Properties>
</file>