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95" w:rsidRPr="00BD3F95" w:rsidRDefault="00BD3F95" w:rsidP="00BD3F95">
      <w:pPr>
        <w:wordWrap w:val="0"/>
        <w:adjustRightInd w:val="0"/>
        <w:snapToGrid w:val="0"/>
        <w:spacing w:line="360" w:lineRule="auto"/>
        <w:jc w:val="center"/>
        <w:outlineLvl w:val="0"/>
        <w:rPr>
          <w:rFonts w:ascii="新宋体" w:eastAsia="新宋体" w:hAnsi="新宋体" w:cs="Arial"/>
          <w:b/>
          <w:bCs/>
          <w:sz w:val="32"/>
          <w:szCs w:val="32"/>
        </w:rPr>
      </w:pPr>
      <w:r w:rsidRPr="00BD3F95">
        <w:rPr>
          <w:rFonts w:ascii="新宋体" w:eastAsia="新宋体" w:hAnsi="新宋体" w:cs="Times New Roman" w:hint="eastAsia"/>
          <w:b/>
          <w:bCs/>
          <w:sz w:val="30"/>
          <w:szCs w:val="30"/>
        </w:rPr>
        <w:t>项目需求</w:t>
      </w:r>
      <w:r w:rsidRPr="00BD3F95">
        <w:rPr>
          <w:rFonts w:ascii="新宋体" w:eastAsia="新宋体" w:hAnsi="新宋体" w:cs="Arial" w:hint="eastAsia"/>
          <w:b/>
          <w:bCs/>
          <w:sz w:val="30"/>
          <w:szCs w:val="30"/>
        </w:rPr>
        <w:t xml:space="preserve"> </w:t>
      </w:r>
    </w:p>
    <w:p w:rsidR="00BD3F95" w:rsidRPr="00BD3F95" w:rsidRDefault="00BD3F95" w:rsidP="00BD3F95">
      <w:pPr>
        <w:tabs>
          <w:tab w:val="left" w:pos="5505"/>
        </w:tabs>
        <w:spacing w:line="360" w:lineRule="auto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BD3F95">
        <w:rPr>
          <w:rFonts w:ascii="仿宋" w:eastAsia="仿宋" w:hAnsi="仿宋" w:cs="宋体" w:hint="eastAsia"/>
          <w:b/>
          <w:kern w:val="0"/>
          <w:sz w:val="28"/>
          <w:szCs w:val="28"/>
        </w:rPr>
        <w:t>一</w:t>
      </w:r>
      <w:r w:rsidRPr="00BD3F95">
        <w:rPr>
          <w:rFonts w:ascii="仿宋" w:eastAsia="仿宋" w:hAnsi="仿宋" w:cs="宋体"/>
          <w:b/>
          <w:kern w:val="0"/>
          <w:sz w:val="28"/>
          <w:szCs w:val="28"/>
        </w:rPr>
        <w:t>、</w:t>
      </w:r>
      <w:r w:rsidRPr="00BD3F95">
        <w:rPr>
          <w:rFonts w:ascii="仿宋" w:eastAsia="仿宋" w:hAnsi="仿宋" w:cs="宋体" w:hint="eastAsia"/>
          <w:b/>
          <w:kern w:val="0"/>
          <w:sz w:val="28"/>
          <w:szCs w:val="28"/>
        </w:rPr>
        <w:t>项目背景</w:t>
      </w:r>
    </w:p>
    <w:p w:rsidR="00BD3F95" w:rsidRPr="00BD3F95" w:rsidRDefault="00BD3F95" w:rsidP="00BD3F95">
      <w:pPr>
        <w:tabs>
          <w:tab w:val="left" w:pos="5505"/>
        </w:tabs>
        <w:spacing w:line="360" w:lineRule="auto"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近年来，党中央、国务院高度重视政务公开、政务服务和政府网站工作，陆续印发系列文件，特别是2017年《国务院办公厅关于印发政府网站发展指引的通知》（国办发〔2017〕47号）的印发，对未来政府网站的发展提出了系统性、全面性、规范性的要求，并提出了“将政府网站打造成更加全面的政务公开平台、更加权威的政策发布解读和舆论引导平台、更加及时的回应关切和便民服务平台”“建设整体联动、高效惠民的网上政府”的目标。另外，对着互联网特别是移动互联网的快速发展，公众对政府网站的需求越来越高。在此背景下，目前深圳市政府网站的建设在规范性、实用性等方面还有进一步提升的空间，并且按照广东省政府办公厅的要求，2018年全市政府网站绩效评估工作也是明确要求之一。为更好实现该项工作，需引进有经验、有实力的团队，开展研究和实施工作。</w:t>
      </w:r>
    </w:p>
    <w:p w:rsidR="00BD3F95" w:rsidRPr="00BD3F95" w:rsidRDefault="00BD3F95" w:rsidP="00BD3F95">
      <w:pPr>
        <w:tabs>
          <w:tab w:val="left" w:pos="5505"/>
        </w:tabs>
        <w:spacing w:line="360" w:lineRule="auto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BD3F95">
        <w:rPr>
          <w:rFonts w:ascii="仿宋" w:eastAsia="仿宋" w:hAnsi="仿宋" w:cs="宋体" w:hint="eastAsia"/>
          <w:b/>
          <w:kern w:val="0"/>
          <w:sz w:val="28"/>
          <w:szCs w:val="28"/>
        </w:rPr>
        <w:t>二</w:t>
      </w:r>
      <w:r w:rsidRPr="00BD3F95">
        <w:rPr>
          <w:rFonts w:ascii="仿宋" w:eastAsia="仿宋" w:hAnsi="仿宋" w:cs="宋体"/>
          <w:b/>
          <w:kern w:val="0"/>
          <w:sz w:val="28"/>
          <w:szCs w:val="28"/>
        </w:rPr>
        <w:t>、</w:t>
      </w:r>
      <w:r w:rsidRPr="00BD3F95">
        <w:rPr>
          <w:rFonts w:ascii="仿宋" w:eastAsia="仿宋" w:hAnsi="仿宋" w:cs="宋体" w:hint="eastAsia"/>
          <w:b/>
          <w:kern w:val="0"/>
          <w:sz w:val="28"/>
          <w:szCs w:val="28"/>
        </w:rPr>
        <w:t>项目内容需求</w:t>
      </w:r>
    </w:p>
    <w:p w:rsidR="00BD3F95" w:rsidRPr="00BD3F95" w:rsidRDefault="00BD3F95" w:rsidP="00BD3F95">
      <w:pPr>
        <w:tabs>
          <w:tab w:val="left" w:pos="5505"/>
        </w:tabs>
        <w:spacing w:line="360" w:lineRule="auto"/>
        <w:ind w:firstLineChars="177" w:firstLine="426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b/>
          <w:kern w:val="0"/>
          <w:sz w:val="24"/>
          <w:szCs w:val="24"/>
        </w:rPr>
        <w:t>工作目标：</w:t>
      </w: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按照党中央国务院对政务公开、政务服务、电子政务和政府网站的要求，加强对深圳市政府网站标准化、规范化和集约化研究，围绕全国政府网站发展指引，优化升级深圳市政府网站标准规范，并通过</w:t>
      </w:r>
      <w:proofErr w:type="gramStart"/>
      <w:r w:rsidRPr="00BD3F95">
        <w:rPr>
          <w:rFonts w:ascii="仿宋" w:eastAsia="仿宋" w:hAnsi="仿宋" w:cs="宋体" w:hint="eastAsia"/>
          <w:kern w:val="0"/>
          <w:sz w:val="24"/>
          <w:szCs w:val="24"/>
        </w:rPr>
        <w:t>以评促建</w:t>
      </w:r>
      <w:proofErr w:type="gramEnd"/>
      <w:r w:rsidRPr="00BD3F95">
        <w:rPr>
          <w:rFonts w:ascii="仿宋" w:eastAsia="仿宋" w:hAnsi="仿宋" w:cs="宋体" w:hint="eastAsia"/>
          <w:kern w:val="0"/>
          <w:sz w:val="24"/>
          <w:szCs w:val="24"/>
        </w:rPr>
        <w:t>、以</w:t>
      </w:r>
      <w:proofErr w:type="gramStart"/>
      <w:r w:rsidRPr="00BD3F95">
        <w:rPr>
          <w:rFonts w:ascii="仿宋" w:eastAsia="仿宋" w:hAnsi="仿宋" w:cs="宋体" w:hint="eastAsia"/>
          <w:kern w:val="0"/>
          <w:sz w:val="24"/>
          <w:szCs w:val="24"/>
        </w:rPr>
        <w:t>评促用</w:t>
      </w:r>
      <w:proofErr w:type="gramEnd"/>
      <w:r w:rsidRPr="00BD3F95">
        <w:rPr>
          <w:rFonts w:ascii="仿宋" w:eastAsia="仿宋" w:hAnsi="仿宋" w:cs="宋体" w:hint="eastAsia"/>
          <w:kern w:val="0"/>
          <w:sz w:val="24"/>
          <w:szCs w:val="24"/>
        </w:rPr>
        <w:t>，提高各区、各部门政府网站绩效水平，将政府网站打造成更加全面的信息公开平台、更加权威的政策发布解读和舆论引导平台、更加及时的回应关切和便民服务平台。</w:t>
      </w:r>
    </w:p>
    <w:p w:rsidR="00BD3F95" w:rsidRPr="00BD3F95" w:rsidRDefault="00BD3F95" w:rsidP="00BD3F95">
      <w:pPr>
        <w:tabs>
          <w:tab w:val="left" w:pos="5505"/>
        </w:tabs>
        <w:spacing w:line="360" w:lineRule="auto"/>
        <w:ind w:firstLineChars="177" w:firstLine="426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b/>
          <w:kern w:val="0"/>
          <w:sz w:val="24"/>
          <w:szCs w:val="24"/>
        </w:rPr>
        <w:t>服务清单：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42"/>
        <w:gridCol w:w="709"/>
        <w:gridCol w:w="709"/>
        <w:gridCol w:w="586"/>
        <w:gridCol w:w="1207"/>
      </w:tblGrid>
      <w:tr w:rsidR="00BD3F95" w:rsidRPr="00BD3F95" w:rsidTr="00D31E47">
        <w:trPr>
          <w:jc w:val="center"/>
        </w:trPr>
        <w:tc>
          <w:tcPr>
            <w:tcW w:w="709" w:type="dxa"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D3F9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942" w:type="dxa"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D3F9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需求内容</w:t>
            </w:r>
          </w:p>
        </w:tc>
        <w:tc>
          <w:tcPr>
            <w:tcW w:w="709" w:type="dxa"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D3F9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709" w:type="dxa"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D3F9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586" w:type="dxa"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D3F9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1207" w:type="dxa"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D3F9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财政预算限额（元）</w:t>
            </w:r>
          </w:p>
        </w:tc>
      </w:tr>
      <w:tr w:rsidR="00BD3F95" w:rsidRPr="00BD3F95" w:rsidTr="00D31E47">
        <w:trPr>
          <w:jc w:val="center"/>
        </w:trPr>
        <w:tc>
          <w:tcPr>
            <w:tcW w:w="709" w:type="dxa"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D3F9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942" w:type="dxa"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网站对标诊断</w:t>
            </w:r>
          </w:p>
        </w:tc>
        <w:tc>
          <w:tcPr>
            <w:tcW w:w="709" w:type="dxa"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D3F9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D3F9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项</w:t>
            </w:r>
          </w:p>
        </w:tc>
        <w:tc>
          <w:tcPr>
            <w:tcW w:w="586" w:type="dxa"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D3F9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495000</w:t>
            </w:r>
          </w:p>
        </w:tc>
      </w:tr>
      <w:tr w:rsidR="00BD3F95" w:rsidRPr="00BD3F95" w:rsidTr="00D31E47">
        <w:trPr>
          <w:jc w:val="center"/>
        </w:trPr>
        <w:tc>
          <w:tcPr>
            <w:tcW w:w="709" w:type="dxa"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D3F9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942" w:type="dxa"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配合开展全市各级政府网站培训解读</w:t>
            </w:r>
          </w:p>
        </w:tc>
        <w:tc>
          <w:tcPr>
            <w:tcW w:w="709" w:type="dxa"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D3F9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D3F9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项</w:t>
            </w:r>
          </w:p>
        </w:tc>
        <w:tc>
          <w:tcPr>
            <w:tcW w:w="586" w:type="dxa"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BD3F95" w:rsidRPr="00BD3F95" w:rsidTr="00D31E47">
        <w:trPr>
          <w:jc w:val="center"/>
        </w:trPr>
        <w:tc>
          <w:tcPr>
            <w:tcW w:w="709" w:type="dxa"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D3F9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942" w:type="dxa"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优化政府网站考评指标体系，开展绩效评估</w:t>
            </w:r>
          </w:p>
        </w:tc>
        <w:tc>
          <w:tcPr>
            <w:tcW w:w="709" w:type="dxa"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D3F9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D3F9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项</w:t>
            </w:r>
          </w:p>
        </w:tc>
        <w:tc>
          <w:tcPr>
            <w:tcW w:w="586" w:type="dxa"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BD3F95" w:rsidRPr="00BD3F95" w:rsidTr="00D31E47">
        <w:trPr>
          <w:jc w:val="center"/>
        </w:trPr>
        <w:tc>
          <w:tcPr>
            <w:tcW w:w="709" w:type="dxa"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942" w:type="dxa"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指导全市政府网站日常监测、自查、整改工作</w:t>
            </w:r>
          </w:p>
        </w:tc>
        <w:tc>
          <w:tcPr>
            <w:tcW w:w="709" w:type="dxa"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D3F9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D3F9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项</w:t>
            </w:r>
          </w:p>
        </w:tc>
        <w:tc>
          <w:tcPr>
            <w:tcW w:w="586" w:type="dxa"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BD3F95" w:rsidRPr="00BD3F95" w:rsidRDefault="00BD3F95" w:rsidP="00BD3F95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</w:tbl>
    <w:p w:rsidR="00BD3F95" w:rsidRPr="00BD3F95" w:rsidRDefault="00BD3F95" w:rsidP="00BD3F95">
      <w:pPr>
        <w:tabs>
          <w:tab w:val="left" w:pos="5505"/>
        </w:tabs>
        <w:spacing w:line="360" w:lineRule="auto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b/>
          <w:kern w:val="0"/>
          <w:sz w:val="24"/>
          <w:szCs w:val="24"/>
        </w:rPr>
        <w:t>（一）市政府门户网站对标诊断</w:t>
      </w:r>
    </w:p>
    <w:p w:rsidR="00BD3F95" w:rsidRPr="00BD3F95" w:rsidRDefault="00BD3F95" w:rsidP="00BD3F95">
      <w:pPr>
        <w:spacing w:line="360" w:lineRule="auto"/>
        <w:ind w:firstLineChars="100" w:firstLine="2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《政府网站发展指引》是我国第一部对政府网站提出系统性、全面性、规范性要求的文件，明确了政府网站的基本含义、内涵外延、发展目标、具体要求等。按照《指引》要求，对深圳</w:t>
      </w:r>
      <w:r w:rsidRPr="00BD3F95">
        <w:rPr>
          <w:rFonts w:ascii="仿宋" w:eastAsia="仿宋" w:hAnsi="仿宋" w:cs="宋体"/>
          <w:kern w:val="0"/>
          <w:sz w:val="24"/>
          <w:szCs w:val="24"/>
        </w:rPr>
        <w:t>市政府</w:t>
      </w: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门户网站进行全面诊断，发现问题和不足：</w:t>
      </w:r>
    </w:p>
    <w:p w:rsidR="00BD3F95" w:rsidRPr="00BD3F95" w:rsidRDefault="00BD3F95" w:rsidP="00BD3F95">
      <w:pPr>
        <w:numPr>
          <w:ilvl w:val="0"/>
          <w:numId w:val="2"/>
        </w:num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职责分工：分析</w:t>
      </w:r>
      <w:r w:rsidRPr="00BD3F95">
        <w:rPr>
          <w:rFonts w:ascii="仿宋" w:eastAsia="仿宋" w:hAnsi="仿宋" w:cs="宋体"/>
          <w:kern w:val="0"/>
          <w:sz w:val="24"/>
          <w:szCs w:val="24"/>
        </w:rPr>
        <w:t>深圳市政府</w:t>
      </w: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网站管理和办站过程中的责任主体是否清晰，具体职责是否明确。</w:t>
      </w:r>
    </w:p>
    <w:p w:rsidR="00BD3F95" w:rsidRPr="00BD3F95" w:rsidRDefault="00BD3F95" w:rsidP="00BD3F95">
      <w:pPr>
        <w:numPr>
          <w:ilvl w:val="0"/>
          <w:numId w:val="2"/>
        </w:num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开设与整合：分析</w:t>
      </w:r>
      <w:r w:rsidRPr="00BD3F95">
        <w:rPr>
          <w:rFonts w:ascii="仿宋" w:eastAsia="仿宋" w:hAnsi="仿宋" w:cs="宋体"/>
          <w:kern w:val="0"/>
          <w:sz w:val="24"/>
          <w:szCs w:val="24"/>
        </w:rPr>
        <w:t>深圳市政府</w:t>
      </w: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门户及子站、直属联系单位网站是否符合开设和整合要求。</w:t>
      </w:r>
    </w:p>
    <w:p w:rsidR="00BD3F95" w:rsidRPr="00BD3F95" w:rsidRDefault="00BD3F95" w:rsidP="00BD3F95">
      <w:pPr>
        <w:numPr>
          <w:ilvl w:val="0"/>
          <w:numId w:val="2"/>
        </w:num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信息内容：分析</w:t>
      </w:r>
      <w:r w:rsidRPr="00BD3F95">
        <w:rPr>
          <w:rFonts w:ascii="仿宋" w:eastAsia="仿宋" w:hAnsi="仿宋" w:cs="宋体"/>
          <w:kern w:val="0"/>
          <w:sz w:val="24"/>
          <w:szCs w:val="24"/>
        </w:rPr>
        <w:t>深圳市政府</w:t>
      </w: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网站在信息发布、解读回应、办事服务和互动交流等方面的问题和不足。</w:t>
      </w:r>
    </w:p>
    <w:p w:rsidR="00BD3F95" w:rsidRPr="00BD3F95" w:rsidRDefault="00BD3F95" w:rsidP="00BD3F95">
      <w:pPr>
        <w:numPr>
          <w:ilvl w:val="0"/>
          <w:numId w:val="2"/>
        </w:num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集约共享：分析</w:t>
      </w:r>
      <w:r w:rsidRPr="00BD3F95">
        <w:rPr>
          <w:rFonts w:ascii="仿宋" w:eastAsia="仿宋" w:hAnsi="仿宋" w:cs="宋体"/>
          <w:kern w:val="0"/>
          <w:sz w:val="24"/>
          <w:szCs w:val="24"/>
        </w:rPr>
        <w:t>深圳市政府</w:t>
      </w: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门户与部门网站在集约化平台、平台功能和安全防护、信息资源共享公用方面的问题和不足。</w:t>
      </w:r>
    </w:p>
    <w:p w:rsidR="00BD3F95" w:rsidRPr="00BD3F95" w:rsidRDefault="00BD3F95" w:rsidP="00BD3F95">
      <w:pPr>
        <w:numPr>
          <w:ilvl w:val="0"/>
          <w:numId w:val="2"/>
        </w:num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创新发展：分析</w:t>
      </w:r>
      <w:r w:rsidRPr="00BD3F95">
        <w:rPr>
          <w:rFonts w:ascii="仿宋" w:eastAsia="仿宋" w:hAnsi="仿宋" w:cs="宋体"/>
          <w:kern w:val="0"/>
          <w:sz w:val="24"/>
          <w:szCs w:val="24"/>
        </w:rPr>
        <w:t>深圳市政府</w:t>
      </w: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网站在个性化服务、开放式架构、大数据支撑和多渠道扩展等方面的问题和不足。</w:t>
      </w:r>
    </w:p>
    <w:p w:rsidR="00BD3F95" w:rsidRPr="00BD3F95" w:rsidRDefault="00BD3F95" w:rsidP="00BD3F95">
      <w:pPr>
        <w:numPr>
          <w:ilvl w:val="0"/>
          <w:numId w:val="2"/>
        </w:num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安全防护：分析</w:t>
      </w:r>
      <w:r w:rsidRPr="00BD3F95">
        <w:rPr>
          <w:rFonts w:ascii="仿宋" w:eastAsia="仿宋" w:hAnsi="仿宋" w:cs="宋体"/>
          <w:kern w:val="0"/>
          <w:sz w:val="24"/>
          <w:szCs w:val="24"/>
        </w:rPr>
        <w:t>深圳市政府</w:t>
      </w: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网站是否如何安全防护要求。</w:t>
      </w:r>
    </w:p>
    <w:p w:rsidR="00BD3F95" w:rsidRPr="00BD3F95" w:rsidRDefault="00BD3F95" w:rsidP="00BD3F95">
      <w:pPr>
        <w:numPr>
          <w:ilvl w:val="0"/>
          <w:numId w:val="2"/>
        </w:num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机制保障：分析</w:t>
      </w:r>
      <w:r w:rsidRPr="00BD3F95">
        <w:rPr>
          <w:rFonts w:ascii="仿宋" w:eastAsia="仿宋" w:hAnsi="仿宋" w:cs="宋体"/>
          <w:kern w:val="0"/>
          <w:sz w:val="24"/>
          <w:szCs w:val="24"/>
        </w:rPr>
        <w:t>深圳市政府</w:t>
      </w: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网站在监管、运维、沟通协调和协同联动等方面的机制建设情况。</w:t>
      </w:r>
    </w:p>
    <w:p w:rsidR="00BD3F95" w:rsidRPr="00BD3F95" w:rsidRDefault="00BD3F95" w:rsidP="00BD3F95">
      <w:pPr>
        <w:numPr>
          <w:ilvl w:val="0"/>
          <w:numId w:val="2"/>
        </w:num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网页设计：分析</w:t>
      </w:r>
      <w:r w:rsidRPr="00BD3F95">
        <w:rPr>
          <w:rFonts w:ascii="仿宋" w:eastAsia="仿宋" w:hAnsi="仿宋" w:cs="宋体"/>
          <w:kern w:val="0"/>
          <w:sz w:val="24"/>
          <w:szCs w:val="24"/>
        </w:rPr>
        <w:t>深圳市政府</w:t>
      </w: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网站在展现布局、链接地址和网页标签等方面是否符合《指引》规范性要求。</w:t>
      </w:r>
    </w:p>
    <w:p w:rsidR="00BD3F95" w:rsidRPr="00BD3F95" w:rsidRDefault="00BD3F95" w:rsidP="00BD3F95">
      <w:pPr>
        <w:numPr>
          <w:ilvl w:val="0"/>
          <w:numId w:val="2"/>
        </w:num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其他：分析</w:t>
      </w:r>
      <w:r w:rsidRPr="00BD3F95">
        <w:rPr>
          <w:rFonts w:ascii="仿宋" w:eastAsia="仿宋" w:hAnsi="仿宋" w:cs="宋体"/>
          <w:kern w:val="0"/>
          <w:sz w:val="24"/>
          <w:szCs w:val="24"/>
        </w:rPr>
        <w:t>深圳市政府</w:t>
      </w: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网站建设是否符合其他相关要求。</w:t>
      </w:r>
    </w:p>
    <w:p w:rsidR="00BD3F95" w:rsidRPr="00BD3F95" w:rsidRDefault="00BD3F95" w:rsidP="00BD3F95">
      <w:pPr>
        <w:tabs>
          <w:tab w:val="left" w:pos="5505"/>
        </w:tabs>
        <w:spacing w:line="360" w:lineRule="auto"/>
        <w:ind w:firstLineChars="147" w:firstLine="353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通过上述诊断和分析，形成《</w:t>
      </w:r>
      <w:r w:rsidRPr="00BD3F95">
        <w:rPr>
          <w:rFonts w:ascii="仿宋" w:eastAsia="仿宋" w:hAnsi="仿宋" w:cs="宋体"/>
          <w:kern w:val="0"/>
          <w:sz w:val="24"/>
          <w:szCs w:val="24"/>
        </w:rPr>
        <w:t>深圳市政府</w:t>
      </w: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网站对标诊断报告》，详细指出问题和不足，为下一步改进奠定基础。</w:t>
      </w:r>
    </w:p>
    <w:p w:rsidR="00BD3F95" w:rsidRPr="00BD3F95" w:rsidRDefault="00BD3F95" w:rsidP="00BD3F95">
      <w:pPr>
        <w:tabs>
          <w:tab w:val="left" w:pos="5505"/>
        </w:tabs>
        <w:spacing w:line="360" w:lineRule="auto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b/>
          <w:kern w:val="0"/>
          <w:sz w:val="24"/>
          <w:szCs w:val="24"/>
        </w:rPr>
        <w:t>（二）全市政府网站绩效评估。</w:t>
      </w:r>
    </w:p>
    <w:p w:rsidR="00BD3F95" w:rsidRPr="00BD3F95" w:rsidRDefault="00BD3F95" w:rsidP="00BD3F9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多年来，我市持续开展政府网站绩效评估工作，对促进我市政府网站建设，提高全市政府网站水平起到了积极的推进作用。2015年国办开展第一次全国政府网站普查工作，2016年国务院办公厅按季度抽查政府网站，2017年发布指引提出更多新的要求，我市将在继承201</w:t>
      </w:r>
      <w:r w:rsidRPr="00BD3F95">
        <w:rPr>
          <w:rFonts w:ascii="仿宋" w:eastAsia="仿宋" w:hAnsi="仿宋" w:cs="宋体"/>
          <w:kern w:val="0"/>
          <w:sz w:val="24"/>
          <w:szCs w:val="24"/>
        </w:rPr>
        <w:t>7</w:t>
      </w: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年评估工作的基础上，根据新要求，优化201</w:t>
      </w:r>
      <w:r w:rsidRPr="00BD3F95">
        <w:rPr>
          <w:rFonts w:ascii="仿宋" w:eastAsia="仿宋" w:hAnsi="仿宋" w:cs="宋体"/>
          <w:kern w:val="0"/>
          <w:sz w:val="24"/>
          <w:szCs w:val="24"/>
        </w:rPr>
        <w:t>8</w:t>
      </w: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年评估指标。</w:t>
      </w:r>
    </w:p>
    <w:p w:rsidR="00BD3F95" w:rsidRPr="00BD3F95" w:rsidRDefault="00BD3F95" w:rsidP="00BD3F95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1.明确政府域名网站范围，分类开展评估工作</w:t>
      </w:r>
    </w:p>
    <w:p w:rsidR="00BD3F95" w:rsidRPr="00BD3F95" w:rsidRDefault="00BD3F95" w:rsidP="00BD3F9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评估对象为区政府（新区管委会）门户网站和市政府直属部门网站。根据市政府直属部门职能特点，将其网站分为对外公共管理和服务（A类）和政府内部协调管理（B类）两类，实施分类评估并分类综合排名。</w:t>
      </w:r>
    </w:p>
    <w:p w:rsidR="00BD3F95" w:rsidRPr="00BD3F95" w:rsidRDefault="00BD3F95" w:rsidP="00BD3F9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具体分类和名单见下表。</w:t>
      </w:r>
      <w:bookmarkStart w:id="0" w:name="_GoBack"/>
      <w:bookmarkEnd w:id="0"/>
    </w:p>
    <w:p w:rsidR="00BD3F95" w:rsidRPr="00BD3F95" w:rsidRDefault="00BD3F95" w:rsidP="00BD3F9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表1：区政府（新区管委会）门户网站（10家）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97"/>
        <w:gridCol w:w="5025"/>
      </w:tblGrid>
      <w:tr w:rsidR="00BD3F95" w:rsidRPr="00BD3F95" w:rsidTr="00D31E47">
        <w:trPr>
          <w:jc w:val="center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区政府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网址</w:t>
            </w:r>
          </w:p>
        </w:tc>
      </w:tr>
      <w:tr w:rsidR="00BD3F95" w:rsidRPr="00BD3F95" w:rsidTr="00D31E47">
        <w:trPr>
          <w:jc w:val="center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http://www.szft.gov.cn/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http://www.szlh.gov.cn/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http://www.szns.gov.cn/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http://www.yantian.gov.cn/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http://www.baoan.gov.cn/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http://www.lg.gov.cn/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http://www.szgm.gov.cn/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坪山区</w:t>
            </w:r>
            <w:proofErr w:type="gramEnd"/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http://www.szpsq.gov.cn/</w:t>
            </w:r>
          </w:p>
        </w:tc>
      </w:tr>
      <w:tr w:rsidR="00BD3F95" w:rsidRPr="00BD3F95" w:rsidTr="00D31E47">
        <w:trPr>
          <w:trHeight w:val="227"/>
          <w:jc w:val="center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龙华区</w:t>
            </w:r>
            <w:proofErr w:type="gramEnd"/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http://www.szlhxq.gov.cn/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http://www.dpxq.gov.cn/</w:t>
            </w:r>
          </w:p>
        </w:tc>
      </w:tr>
    </w:tbl>
    <w:p w:rsidR="00BD3F95" w:rsidRPr="00BD3F95" w:rsidRDefault="00BD3F95" w:rsidP="00BD3F95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表2：对外公共管理和服务部门政府网站（A类28家）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26"/>
        <w:gridCol w:w="4954"/>
      </w:tblGrid>
      <w:tr w:rsidR="00BD3F95" w:rsidRPr="00BD3F95" w:rsidTr="00D31E47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网址</w:t>
            </w:r>
          </w:p>
        </w:tc>
      </w:tr>
      <w:tr w:rsidR="00BD3F95" w:rsidRPr="00BD3F95" w:rsidTr="00D31E47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市发展改革委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http://www.szpb.gov.cn/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市经贸信息委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http://www.szjmxxw.gov.cn/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市科技创新委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http://www.szsti.gov.cn/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</w:t>
            </w:r>
            <w:proofErr w:type="gramStart"/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财政委</w:t>
            </w:r>
            <w:proofErr w:type="gramEnd"/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http://www.szfb.gov.cn/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市规划</w:t>
            </w:r>
            <w:proofErr w:type="gramStart"/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国土委</w:t>
            </w:r>
            <w:proofErr w:type="gramEnd"/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http://www.szpl.gov.cn/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市人居</w:t>
            </w:r>
            <w:proofErr w:type="gramStart"/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环境委</w:t>
            </w:r>
            <w:proofErr w:type="gramEnd"/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http://www.szhec.gov.cn/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市交通运输委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http://www.sztb.gov.cn/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市卫生计生委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http://www.szhpfpc.gov.cn/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市教育局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http://www.szeb.edu.cn/</w:t>
            </w:r>
          </w:p>
        </w:tc>
      </w:tr>
      <w:tr w:rsidR="00BD3F95" w:rsidRPr="00BD3F95" w:rsidTr="00D31E47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市公安局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http://www.szga.gov.cn/</w:t>
            </w:r>
          </w:p>
        </w:tc>
      </w:tr>
      <w:tr w:rsidR="00BD3F95" w:rsidRPr="00BD3F95" w:rsidTr="00D31E47">
        <w:trPr>
          <w:trHeight w:val="70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市民政局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http://www.szmz.sz.gov.cn/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市司法局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http://www.szsf.gov.cn/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市人力资源保障局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http://www.szhrss.gov.cn/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市文体旅游局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http://www.szwtl.gov.cn/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市住房建设局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http://www.szjs.gov.cn/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市水</w:t>
            </w:r>
            <w:proofErr w:type="gramStart"/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务</w:t>
            </w:r>
            <w:proofErr w:type="gramEnd"/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http://www.szwrb.gov.cn/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市地税局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http://www.szds.gov.cn/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http://www.szscjg.gov.cn/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市药品监管局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http://www.szda.gov.cn/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市城管局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http://www.szum.gov.cn/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市气象局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http://www.szmb.gov.cn/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市无线电管理局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http://www.szradio.gov.cn/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市公安消防监管局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http://www.sz119.gov.cn/</w:t>
            </w:r>
          </w:p>
        </w:tc>
      </w:tr>
      <w:tr w:rsidR="00BD3F95" w:rsidRPr="00BD3F95" w:rsidTr="00D31E47">
        <w:trPr>
          <w:trHeight w:val="268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市公安交警局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http://www.stc.gov.cn/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市社会保险基金管理局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http://www.szsi.gov.cn/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市政府采购中心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http://www.cgzx.sz.gov.cn/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市住房公积金管理中心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http://www.szzfgjj.com/</w:t>
            </w:r>
          </w:p>
        </w:tc>
      </w:tr>
      <w:tr w:rsidR="00BD3F95" w:rsidRPr="00BD3F95" w:rsidTr="00D31E47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市安全生产监督管理局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/>
                <w:kern w:val="0"/>
                <w:sz w:val="24"/>
                <w:szCs w:val="24"/>
              </w:rPr>
              <w:t>http://szsafety.sz.gov.cn/</w:t>
            </w:r>
          </w:p>
        </w:tc>
      </w:tr>
    </w:tbl>
    <w:p w:rsidR="00BD3F95" w:rsidRPr="00BD3F95" w:rsidRDefault="00BD3F95" w:rsidP="00BD3F95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表3：政府内部协调管理的部门政府网站（B类15家）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11"/>
        <w:gridCol w:w="5256"/>
      </w:tblGrid>
      <w:tr w:rsidR="00BD3F95" w:rsidRPr="00BD3F95" w:rsidTr="00D31E47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网址</w:t>
            </w:r>
          </w:p>
        </w:tc>
      </w:tr>
      <w:tr w:rsidR="00BD3F95" w:rsidRPr="00BD3F95" w:rsidTr="00D31E47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前海管理局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http://www.szqh.gov.cn/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市审计局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http://www.szaudit.gov.cn/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市国资委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http://www.szgzw.gov.cn/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市统计局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http://www.sztj.gov.cn/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市口岸办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http://www.szka.gov.cn/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市法制办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http://fzj.sz.gov.cn/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市外办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http://www.szfao.gov.cn/</w:t>
            </w:r>
          </w:p>
        </w:tc>
      </w:tr>
      <w:tr w:rsidR="00BD3F95" w:rsidRPr="00BD3F95" w:rsidTr="00D31E47">
        <w:trPr>
          <w:trHeight w:val="70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市台办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http://www.tb.sz.gov.cn/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市应急办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http://www.szemo.gov.cn/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市金融办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http://www.jr.sz.gov.cn/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市政务服务办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http://www.szzw.gov.cn/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市建筑工</w:t>
            </w:r>
            <w:proofErr w:type="gramStart"/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务</w:t>
            </w:r>
            <w:proofErr w:type="gramEnd"/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署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http://www.szwb.gov.cn/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市投资推广署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http://www.szinvest.gov.cn/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市档案局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http://www.szdaj.gov.cn/</w:t>
            </w:r>
          </w:p>
        </w:tc>
      </w:tr>
      <w:tr w:rsidR="00BD3F95" w:rsidRPr="00BD3F95" w:rsidTr="00D31E47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深圳市公立医院管理中心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http://www.szzfgjj.com/</w:t>
            </w:r>
          </w:p>
        </w:tc>
      </w:tr>
    </w:tbl>
    <w:p w:rsidR="00BD3F95" w:rsidRPr="00BD3F95" w:rsidRDefault="00BD3F95" w:rsidP="00BD3F95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2.结合发展趋势和国办的新要求，优化指标体系</w:t>
      </w:r>
    </w:p>
    <w:p w:rsidR="00BD3F95" w:rsidRPr="00BD3F95" w:rsidRDefault="00BD3F95" w:rsidP="00BD3F95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基于各区政府（新区管委会）、各部门政府域名网站的特定和性质，根据《国务院办公厅关于开展第一次全国政府网站普查的通知》（国办发〔2015〕15号）等文件要求，特别是未来的发展方向和新提出的要求，优化我市政府网站绩效评估指标体系。至少包括三套指标体系，如区政府（新区管委会）、对外公共管理和服务部门、政府内部协调管理部门等。</w:t>
      </w:r>
    </w:p>
    <w:p w:rsidR="00BD3F95" w:rsidRPr="00BD3F95" w:rsidRDefault="00BD3F95" w:rsidP="00BD3F95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3.开展半年度和年度评估，提高各子</w:t>
      </w:r>
      <w:proofErr w:type="gramStart"/>
      <w:r w:rsidRPr="00BD3F95">
        <w:rPr>
          <w:rFonts w:ascii="仿宋" w:eastAsia="仿宋" w:hAnsi="仿宋" w:cs="宋体" w:hint="eastAsia"/>
          <w:kern w:val="0"/>
          <w:sz w:val="24"/>
          <w:szCs w:val="24"/>
        </w:rPr>
        <w:t>站内容</w:t>
      </w:r>
      <w:proofErr w:type="gramEnd"/>
      <w:r w:rsidRPr="00BD3F95">
        <w:rPr>
          <w:rFonts w:ascii="仿宋" w:eastAsia="仿宋" w:hAnsi="仿宋" w:cs="宋体" w:hint="eastAsia"/>
          <w:kern w:val="0"/>
          <w:sz w:val="24"/>
          <w:szCs w:val="24"/>
        </w:rPr>
        <w:t>保障水平</w:t>
      </w:r>
    </w:p>
    <w:p w:rsidR="00BD3F95" w:rsidRPr="00BD3F95" w:rsidRDefault="00BD3F95" w:rsidP="00BD3F95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一是根据评估指标体系，分别在6月、11月开展半年度考核，在7月10日、次年1月5日前提交考核结果。主要内容包括采样打分、统计分析、撰写报告、结果发布、总结交流等。针对各单位网站得分情况提交详细的打分报告，包括扣分原因、截图等，以及提供优化整改建议。二是对季度考核成绩落后单位，开展帮扶指导工作。对人员变动频繁、业务不熟悉、绩效成绩较低的单位开展“一对一”帮扶指导，从而提升其认知水平、网站建设水平。</w:t>
      </w:r>
    </w:p>
    <w:p w:rsidR="00BD3F95" w:rsidRPr="00BD3F95" w:rsidRDefault="00BD3F95" w:rsidP="00BD3F95">
      <w:pPr>
        <w:spacing w:line="360" w:lineRule="auto"/>
        <w:ind w:firstLineChars="150" w:firstLine="361"/>
        <w:rPr>
          <w:rFonts w:ascii="仿宋" w:eastAsia="仿宋" w:hAnsi="仿宋" w:cs="宋体"/>
          <w:b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b/>
          <w:kern w:val="0"/>
          <w:sz w:val="24"/>
          <w:szCs w:val="24"/>
        </w:rPr>
        <w:t>（三）配合开展政府网站的培训解读</w:t>
      </w:r>
    </w:p>
    <w:p w:rsidR="00BD3F95" w:rsidRPr="00BD3F95" w:rsidRDefault="00BD3F95" w:rsidP="00BD3F95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由办公厅或相关部门牵头，组织各区、各部门政府网站建设和管理相关人员，开展标准规范的讲解和说明工作，对政府网站发展指引、领先政府网站发展趋势和特点，以及政府网站内容建设、功能要求等进行宣</w:t>
      </w:r>
      <w:proofErr w:type="gramStart"/>
      <w:r w:rsidRPr="00BD3F95">
        <w:rPr>
          <w:rFonts w:ascii="仿宋" w:eastAsia="仿宋" w:hAnsi="仿宋" w:cs="宋体" w:hint="eastAsia"/>
          <w:kern w:val="0"/>
          <w:sz w:val="24"/>
          <w:szCs w:val="24"/>
        </w:rPr>
        <w:t>贯</w:t>
      </w:r>
      <w:proofErr w:type="gramEnd"/>
      <w:r w:rsidRPr="00BD3F95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BD3F95" w:rsidRPr="00BD3F95" w:rsidRDefault="00BD3F95" w:rsidP="00BD3F95">
      <w:pPr>
        <w:numPr>
          <w:ilvl w:val="0"/>
          <w:numId w:val="1"/>
        </w:numPr>
        <w:spacing w:line="360" w:lineRule="auto"/>
        <w:rPr>
          <w:rFonts w:ascii="仿宋" w:eastAsia="仿宋" w:hAnsi="仿宋" w:cs="宋体"/>
          <w:b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b/>
          <w:kern w:val="0"/>
          <w:sz w:val="24"/>
          <w:szCs w:val="24"/>
        </w:rPr>
        <w:t>指导全市政府网站日常监测整改</w:t>
      </w:r>
    </w:p>
    <w:p w:rsidR="00BD3F95" w:rsidRPr="00BD3F95" w:rsidRDefault="00BD3F95" w:rsidP="00BD3F9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/>
          <w:kern w:val="0"/>
          <w:sz w:val="24"/>
          <w:szCs w:val="24"/>
        </w:rPr>
        <w:t>1.</w:t>
      </w: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做好市政府门户网站的自查和整改</w:t>
      </w:r>
    </w:p>
    <w:p w:rsidR="00BD3F95" w:rsidRPr="00BD3F95" w:rsidRDefault="00BD3F95" w:rsidP="00BD3F9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根据国办发〔2015〕15号文件要求，以及国办对2016年普查的新要求，对市政府门户网站进行全面检查，切实做好普查工作，争取合格达标力争优秀。</w:t>
      </w:r>
    </w:p>
    <w:p w:rsidR="00BD3F95" w:rsidRPr="00BD3F95" w:rsidRDefault="00BD3F95" w:rsidP="00BD3F9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普查指标：对照国办发〔2015〕15号文中的《全国政府网站普查评分表》，主要包括“单项否决、网站可用性、信息更新情况、互动回应情况、服务实用情况”等指标。如下表所示：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7"/>
        <w:gridCol w:w="1701"/>
        <w:gridCol w:w="6159"/>
      </w:tblGrid>
      <w:tr w:rsidR="00BD3F95" w:rsidRPr="00BD3F95" w:rsidTr="00D31E47">
        <w:trPr>
          <w:cantSplit/>
          <w:trHeight w:val="242"/>
          <w:tblHeader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扣分细则</w:t>
            </w:r>
          </w:p>
        </w:tc>
      </w:tr>
      <w:tr w:rsidR="00BD3F95" w:rsidRPr="00BD3F95" w:rsidTr="00D31E47">
        <w:trPr>
          <w:cantSplit/>
          <w:trHeight w:val="478"/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单项否决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站点无法访问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监测1周，每天间隔性访问20次以上，超过（含）15秒</w:t>
            </w:r>
            <w:proofErr w:type="gramStart"/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网站仍</w:t>
            </w:r>
            <w:proofErr w:type="gramEnd"/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打不开的次数比例累计超过（含）5%，即单项否决。</w:t>
            </w:r>
          </w:p>
        </w:tc>
      </w:tr>
      <w:tr w:rsidR="00BD3F95" w:rsidRPr="00BD3F95" w:rsidTr="00D31E47">
        <w:trPr>
          <w:cantSplit/>
          <w:trHeight w:val="720"/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网站不更新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监测2周，首页栏目无信息更新的，即单项否决。</w:t>
            </w:r>
          </w:p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注：未注明信息发布时间的视为不更新，下同。</w:t>
            </w:r>
          </w:p>
        </w:tc>
      </w:tr>
      <w:tr w:rsidR="00BD3F95" w:rsidRPr="00BD3F95" w:rsidTr="00D31E47">
        <w:trPr>
          <w:cantSplit/>
          <w:trHeight w:val="810"/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栏目不更新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1.监测时间点前2周内的动态、要闻类栏目，以及监测时间点前6个月内的通知公告、政策文件类栏目，累计超过（含）5个未更新；</w:t>
            </w:r>
          </w:p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2.网站中应更新但长期未更新的栏目数超过（含）10个；</w:t>
            </w:r>
          </w:p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3.空白栏目数量超过（含）5个。 </w:t>
            </w:r>
          </w:p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上述情况出现任意一种，即单项否决。</w:t>
            </w:r>
          </w:p>
        </w:tc>
      </w:tr>
      <w:tr w:rsidR="00BD3F95" w:rsidRPr="00BD3F95" w:rsidTr="00D31E47">
        <w:trPr>
          <w:cantSplit/>
          <w:trHeight w:val="641"/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严重错误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网站出现严重错别字（例如，将党和国家领导人姓名写错）、虚假或伪造内容（例如，严重不符合实际情况的文字、图片、视频）以及反动、暴力、黄色等内容现象的，即单项否决。</w:t>
            </w:r>
          </w:p>
        </w:tc>
      </w:tr>
      <w:tr w:rsidR="00BD3F95" w:rsidRPr="00BD3F95" w:rsidTr="00D31E47">
        <w:trPr>
          <w:cantSplit/>
          <w:trHeight w:val="765"/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互动</w:t>
            </w:r>
            <w:proofErr w:type="gramStart"/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回应差</w:t>
            </w:r>
            <w:proofErr w:type="gramEnd"/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监测时间点前1年内，要求对公众信件、留言及时答复处理的政务咨询类栏目（在线访谈、调查征集、举报投诉类栏目除外）中存在超过三个月未回应的现象，即单项否决。</w:t>
            </w:r>
          </w:p>
        </w:tc>
      </w:tr>
      <w:tr w:rsidR="00BD3F95" w:rsidRPr="00BD3F95" w:rsidTr="00D31E47">
        <w:trPr>
          <w:cantSplit/>
          <w:trHeight w:val="589"/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网站可用性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首页可用性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监测1周，每天间隔性访问20次以上，累计超过（含）15秒</w:t>
            </w:r>
            <w:proofErr w:type="gramStart"/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网站仍</w:t>
            </w:r>
            <w:proofErr w:type="gramEnd"/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打不开的次数比例每1%扣5分（累计超过（含）5%的，直接列入单项否决）。</w:t>
            </w:r>
          </w:p>
        </w:tc>
      </w:tr>
      <w:tr w:rsidR="00BD3F95" w:rsidRPr="00BD3F95" w:rsidTr="00D31E47">
        <w:trPr>
          <w:cantSplit/>
          <w:trHeight w:val="1260"/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链接可用性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1.首页上的链接（包括图片、附件、外部链接等），每发现一个打不开或错误的，扣1分；</w:t>
            </w:r>
          </w:p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2.其他页面的链接（包括图片、附件、外部链接等），每发现一个打不开或错误的，扣0.1分。</w:t>
            </w:r>
          </w:p>
        </w:tc>
      </w:tr>
      <w:tr w:rsidR="00BD3F95" w:rsidRPr="00BD3F95" w:rsidTr="00D31E47">
        <w:trPr>
          <w:cantSplit/>
          <w:trHeight w:val="860"/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信息更新</w:t>
            </w:r>
          </w:p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首页栏目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监测2周，首页栏目信息更新总量少于10条的，扣5分（2周内首页栏目信息更新总量为0的，直接列入单项否决）。</w:t>
            </w:r>
          </w:p>
        </w:tc>
      </w:tr>
      <w:tr w:rsidR="00BD3F95" w:rsidRPr="00BD3F95" w:rsidTr="00D31E47">
        <w:trPr>
          <w:cantSplit/>
          <w:trHeight w:val="626"/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1.监测时间点前2周内，动态、要闻类信息，每发现1个栏目未更新的，扣3分；</w:t>
            </w: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2.监测时间点前6个月内，通知公告、政策文件类信息，每发现1个栏目未更新的，扣4分；</w:t>
            </w:r>
          </w:p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3.监测时间点前1年内，人事、规划计划类信息，每发现1个栏目未更新的，扣5分；</w:t>
            </w:r>
          </w:p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4.机构设置及职能、动态、要闻、通知公告、政策文件、规划计划、人事等信息不准确的，每发现1次扣1分。</w:t>
            </w:r>
          </w:p>
        </w:tc>
      </w:tr>
      <w:tr w:rsidR="00BD3F95" w:rsidRPr="00BD3F95" w:rsidTr="00D31E47">
        <w:trPr>
          <w:cantSplit/>
          <w:trHeight w:val="766"/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互动回应</w:t>
            </w:r>
          </w:p>
          <w:p w:rsidR="00BD3F95" w:rsidRPr="00BD3F95" w:rsidRDefault="00BD3F95" w:rsidP="00BD3F9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政务咨询类栏目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1.未开设栏目的，扣5分；</w:t>
            </w:r>
          </w:p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2.开设了栏目，但监测时间点前1年内栏目中无任何有效信件、留言的，扣5分。</w:t>
            </w:r>
          </w:p>
        </w:tc>
      </w:tr>
      <w:tr w:rsidR="00BD3F95" w:rsidRPr="00BD3F95" w:rsidTr="00D31E47">
        <w:trPr>
          <w:cantSplit/>
          <w:trHeight w:val="343"/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调查征集类栏目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1.未开设栏目的，扣5分；</w:t>
            </w:r>
          </w:p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2.开设了栏目，但栏目</w:t>
            </w:r>
            <w:proofErr w:type="gramStart"/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可用或监测时间点前1年内未开展调查征集活动的，扣5分；</w:t>
            </w:r>
          </w:p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3.开设了栏目且监测时间点前1年内开展了调查征集活动，但开展次数较少的（地方政府及国务院各部门门户网站少于6次，其他政府网站少于3次），扣3分。</w:t>
            </w:r>
          </w:p>
        </w:tc>
      </w:tr>
      <w:tr w:rsidR="00BD3F95" w:rsidRPr="00BD3F95" w:rsidTr="00D31E47">
        <w:trPr>
          <w:cantSplit/>
          <w:trHeight w:val="626"/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互动访谈类栏目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1.开设了栏目，但栏目</w:t>
            </w:r>
            <w:proofErr w:type="gramStart"/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可用或监测时间点前1年内未开展互动访谈活动的，扣5分；</w:t>
            </w:r>
          </w:p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2.开设了栏目且监测时间点前1年内开展了互动访谈活动，但开展次数较少的（地方政府及国务院各部门门户网站少于6次，其他政府网站少于3次），扣3分。 </w:t>
            </w:r>
          </w:p>
        </w:tc>
      </w:tr>
      <w:tr w:rsidR="00BD3F95" w:rsidRPr="00BD3F95" w:rsidTr="00D31E47">
        <w:trPr>
          <w:cantSplit/>
          <w:trHeight w:val="256"/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服务实用</w:t>
            </w:r>
          </w:p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办事指南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1.办事指南要素类别缺失的（要素类别包括事项名称、设定依据、申请条件、办理材料、办理地点、办理时间、联系电话、办理流程等），每发现一类扣2分；</w:t>
            </w:r>
          </w:p>
          <w:p w:rsidR="00BD3F95" w:rsidRPr="00BD3F95" w:rsidRDefault="00BD3F95" w:rsidP="00BD3F9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2.办事指南要素内容不准确的，每发现一项扣1分。</w:t>
            </w:r>
          </w:p>
        </w:tc>
      </w:tr>
      <w:tr w:rsidR="00BD3F95" w:rsidRPr="00BD3F95" w:rsidTr="00D31E47">
        <w:trPr>
          <w:cantSplit/>
          <w:trHeight w:val="343"/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附件下载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1.办事指南中提及的表格和附件未提供下载的，每发现一次扣1分；</w:t>
            </w:r>
          </w:p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2.办事表格、文件附件等无法下载的，每发现一次扣1分。</w:t>
            </w:r>
          </w:p>
        </w:tc>
      </w:tr>
      <w:tr w:rsidR="00BD3F95" w:rsidRPr="00BD3F95" w:rsidTr="00D31E47">
        <w:trPr>
          <w:cantSplit/>
          <w:trHeight w:val="568"/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在线系统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BD3F95" w:rsidRDefault="00BD3F95" w:rsidP="00BD3F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D3F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在线申报或查询系统不能访问的，每发现一个扣3分。</w:t>
            </w:r>
          </w:p>
        </w:tc>
      </w:tr>
    </w:tbl>
    <w:p w:rsidR="00BD3F95" w:rsidRPr="00BD3F95" w:rsidRDefault="00BD3F95" w:rsidP="00BD3F95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2.做好各区、各部门网站的检查和指导</w:t>
      </w:r>
    </w:p>
    <w:p w:rsidR="00BD3F95" w:rsidRPr="00BD3F95" w:rsidRDefault="00BD3F95" w:rsidP="00BD3F95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按照国办发〔2015〕15号要求，做好市政府门户网站、各区、市级各部门网站及下属</w:t>
      </w:r>
      <w:proofErr w:type="gramStart"/>
      <w:r w:rsidRPr="00BD3F95">
        <w:rPr>
          <w:rFonts w:ascii="仿宋" w:eastAsia="仿宋" w:hAnsi="仿宋" w:cs="宋体" w:hint="eastAsia"/>
          <w:kern w:val="0"/>
          <w:sz w:val="24"/>
          <w:szCs w:val="24"/>
        </w:rPr>
        <w:t>参公管理</w:t>
      </w:r>
      <w:proofErr w:type="gramEnd"/>
      <w:r w:rsidRPr="00BD3F95">
        <w:rPr>
          <w:rFonts w:ascii="仿宋" w:eastAsia="仿宋" w:hAnsi="仿宋" w:cs="宋体" w:hint="eastAsia"/>
          <w:kern w:val="0"/>
          <w:sz w:val="24"/>
          <w:szCs w:val="24"/>
        </w:rPr>
        <w:t>的事业单位网站的自查和网站普查工作，并及时按国办2016年普查的新要求，对各区、各部门网站进行检查、指导和督促整改。</w:t>
      </w:r>
    </w:p>
    <w:p w:rsidR="00BD3F95" w:rsidRPr="00BD3F95" w:rsidRDefault="00BD3F95" w:rsidP="00BD3F95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3.指导政府网站日常监测工作</w:t>
      </w:r>
    </w:p>
    <w:p w:rsidR="00BD3F95" w:rsidRPr="00BD3F95" w:rsidRDefault="00BD3F95" w:rsidP="00BD3F95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2017年，我市继续开展“.gov.cn”政府域名网站日常监测工作。日常监测重点针对网站无法打开、信息更新不及时、信息集中更新、内容缺失、服务不准确、服务</w:t>
      </w:r>
      <w:proofErr w:type="gramStart"/>
      <w:r w:rsidRPr="00BD3F95">
        <w:rPr>
          <w:rFonts w:ascii="仿宋" w:eastAsia="仿宋" w:hAnsi="仿宋" w:cs="宋体" w:hint="eastAsia"/>
          <w:kern w:val="0"/>
          <w:sz w:val="24"/>
          <w:szCs w:val="24"/>
        </w:rPr>
        <w:t>不</w:t>
      </w:r>
      <w:proofErr w:type="gramEnd"/>
      <w:r w:rsidRPr="00BD3F95">
        <w:rPr>
          <w:rFonts w:ascii="仿宋" w:eastAsia="仿宋" w:hAnsi="仿宋" w:cs="宋体" w:hint="eastAsia"/>
          <w:kern w:val="0"/>
          <w:sz w:val="24"/>
          <w:szCs w:val="24"/>
        </w:rPr>
        <w:t>可用、服务不规范、互动不及时、互动质量</w:t>
      </w:r>
      <w:proofErr w:type="gramStart"/>
      <w:r w:rsidRPr="00BD3F95">
        <w:rPr>
          <w:rFonts w:ascii="仿宋" w:eastAsia="仿宋" w:hAnsi="仿宋" w:cs="宋体" w:hint="eastAsia"/>
          <w:kern w:val="0"/>
          <w:sz w:val="24"/>
          <w:szCs w:val="24"/>
        </w:rPr>
        <w:t>不</w:t>
      </w:r>
      <w:proofErr w:type="gramEnd"/>
      <w:r w:rsidRPr="00BD3F95">
        <w:rPr>
          <w:rFonts w:ascii="仿宋" w:eastAsia="仿宋" w:hAnsi="仿宋" w:cs="宋体" w:hint="eastAsia"/>
          <w:kern w:val="0"/>
          <w:sz w:val="24"/>
          <w:szCs w:val="24"/>
        </w:rPr>
        <w:t>高等问题点，及时发现网站存在问题，出具</w:t>
      </w:r>
      <w:proofErr w:type="gramStart"/>
      <w:r w:rsidRPr="00BD3F95">
        <w:rPr>
          <w:rFonts w:ascii="仿宋" w:eastAsia="仿宋" w:hAnsi="仿宋" w:cs="宋体" w:hint="eastAsia"/>
          <w:kern w:val="0"/>
          <w:sz w:val="24"/>
          <w:szCs w:val="24"/>
        </w:rPr>
        <w:t>问题工</w:t>
      </w:r>
      <w:proofErr w:type="gramEnd"/>
      <w:r w:rsidRPr="00BD3F95">
        <w:rPr>
          <w:rFonts w:ascii="仿宋" w:eastAsia="仿宋" w:hAnsi="仿宋" w:cs="宋体" w:hint="eastAsia"/>
          <w:kern w:val="0"/>
          <w:sz w:val="24"/>
          <w:szCs w:val="24"/>
        </w:rPr>
        <w:t>单及引导网站优化整改的建议工单，并督促主管部门协调整改相关问题。根据政府网站发展要求，需要中标单位更好地指导第三方团队开展日常监测工作，及时通过政府网站内容监测综合管理平台发送监测的</w:t>
      </w:r>
      <w:proofErr w:type="gramStart"/>
      <w:r w:rsidRPr="00BD3F95">
        <w:rPr>
          <w:rFonts w:ascii="仿宋" w:eastAsia="仿宋" w:hAnsi="仿宋" w:cs="宋体" w:hint="eastAsia"/>
          <w:kern w:val="0"/>
          <w:sz w:val="24"/>
          <w:szCs w:val="24"/>
        </w:rPr>
        <w:t>问题工</w:t>
      </w:r>
      <w:proofErr w:type="gramEnd"/>
      <w:r w:rsidRPr="00BD3F95">
        <w:rPr>
          <w:rFonts w:ascii="仿宋" w:eastAsia="仿宋" w:hAnsi="仿宋" w:cs="宋体" w:hint="eastAsia"/>
          <w:kern w:val="0"/>
          <w:sz w:val="24"/>
          <w:szCs w:val="24"/>
        </w:rPr>
        <w:t>单，更好地促进政府网站群日常更新维护保障工作。</w:t>
      </w:r>
    </w:p>
    <w:p w:rsidR="00BD3F95" w:rsidRPr="00BD3F95" w:rsidRDefault="00BD3F95" w:rsidP="00BD3F95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4</w:t>
      </w:r>
      <w:r w:rsidRPr="00BD3F95">
        <w:rPr>
          <w:rFonts w:ascii="仿宋" w:eastAsia="仿宋" w:hAnsi="仿宋" w:cs="宋体"/>
          <w:kern w:val="0"/>
          <w:sz w:val="24"/>
          <w:szCs w:val="24"/>
        </w:rPr>
        <w:t>.</w:t>
      </w: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项目成果</w:t>
      </w:r>
    </w:p>
    <w:p w:rsidR="00BD3F95" w:rsidRPr="00BD3F95" w:rsidRDefault="00BD3F95" w:rsidP="00BD3F95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项目最终成果应包含以下</w:t>
      </w:r>
      <w:r w:rsidRPr="00BD3F95">
        <w:rPr>
          <w:rFonts w:ascii="仿宋" w:eastAsia="仿宋" w:hAnsi="仿宋" w:cs="宋体"/>
          <w:kern w:val="0"/>
          <w:sz w:val="24"/>
          <w:szCs w:val="24"/>
        </w:rPr>
        <w:t>6</w:t>
      </w: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类。</w:t>
      </w:r>
    </w:p>
    <w:p w:rsidR="00BD3F95" w:rsidRPr="00BD3F95" w:rsidRDefault="00BD3F95" w:rsidP="00BD3F95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/>
          <w:kern w:val="0"/>
          <w:sz w:val="24"/>
          <w:szCs w:val="24"/>
        </w:rPr>
        <w:t>1</w:t>
      </w: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. 深圳市政府网站绩效评估实施方案</w:t>
      </w:r>
    </w:p>
    <w:p w:rsidR="00BD3F95" w:rsidRPr="00BD3F95" w:rsidRDefault="00BD3F95" w:rsidP="00BD3F95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/>
          <w:kern w:val="0"/>
          <w:sz w:val="24"/>
          <w:szCs w:val="24"/>
        </w:rPr>
        <w:t>2</w:t>
      </w: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. 深圳市政府网站绩效评估总报告</w:t>
      </w:r>
    </w:p>
    <w:p w:rsidR="00BD3F95" w:rsidRPr="00BD3F95" w:rsidRDefault="00BD3F95" w:rsidP="00BD3F95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/>
          <w:kern w:val="0"/>
          <w:sz w:val="24"/>
          <w:szCs w:val="24"/>
        </w:rPr>
        <w:t>3</w:t>
      </w: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. 深圳市政府网站绩效</w:t>
      </w:r>
      <w:proofErr w:type="gramStart"/>
      <w:r w:rsidRPr="00BD3F95">
        <w:rPr>
          <w:rFonts w:ascii="仿宋" w:eastAsia="仿宋" w:hAnsi="仿宋" w:cs="宋体" w:hint="eastAsia"/>
          <w:kern w:val="0"/>
          <w:sz w:val="24"/>
          <w:szCs w:val="24"/>
        </w:rPr>
        <w:t>评估分</w:t>
      </w:r>
      <w:proofErr w:type="gramEnd"/>
      <w:r w:rsidRPr="00BD3F95">
        <w:rPr>
          <w:rFonts w:ascii="仿宋" w:eastAsia="仿宋" w:hAnsi="仿宋" w:cs="宋体" w:hint="eastAsia"/>
          <w:kern w:val="0"/>
          <w:sz w:val="24"/>
          <w:szCs w:val="24"/>
        </w:rPr>
        <w:t>报告</w:t>
      </w:r>
    </w:p>
    <w:p w:rsidR="00BD3F95" w:rsidRPr="00BD3F95" w:rsidRDefault="00BD3F95" w:rsidP="00BD3F95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4.深圳市政府门户网站对标诊断报告</w:t>
      </w:r>
    </w:p>
    <w:p w:rsidR="00BD3F95" w:rsidRPr="00BD3F95" w:rsidRDefault="00BD3F95" w:rsidP="00BD3F95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5. 201</w:t>
      </w:r>
      <w:r w:rsidRPr="00BD3F95">
        <w:rPr>
          <w:rFonts w:ascii="仿宋" w:eastAsia="仿宋" w:hAnsi="仿宋" w:cs="宋体"/>
          <w:kern w:val="0"/>
          <w:sz w:val="24"/>
          <w:szCs w:val="24"/>
        </w:rPr>
        <w:t>8</w:t>
      </w: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年政府网站培训相关材料</w:t>
      </w:r>
    </w:p>
    <w:p w:rsidR="00BD3F95" w:rsidRPr="00BD3F95" w:rsidRDefault="00BD3F95" w:rsidP="00BD3F95">
      <w:pPr>
        <w:numPr>
          <w:ilvl w:val="0"/>
          <w:numId w:val="3"/>
        </w:numPr>
        <w:tabs>
          <w:tab w:val="left" w:pos="5505"/>
        </w:tabs>
        <w:spacing w:line="360" w:lineRule="auto"/>
        <w:jc w:val="left"/>
        <w:rPr>
          <w:rFonts w:ascii="新宋体" w:eastAsia="新宋体" w:hAnsi="新宋体" w:cs="Times New Roman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b/>
          <w:kern w:val="0"/>
          <w:sz w:val="28"/>
          <w:szCs w:val="28"/>
        </w:rPr>
        <w:t>商务需求</w:t>
      </w:r>
      <w:r w:rsidRPr="00BD3F95">
        <w:rPr>
          <w:rFonts w:ascii="新宋体" w:eastAsia="新宋体" w:hAnsi="新宋体" w:cs="Times New Roman" w:hint="eastAsia"/>
          <w:kern w:val="0"/>
          <w:sz w:val="24"/>
          <w:szCs w:val="24"/>
        </w:rPr>
        <w:t xml:space="preserve">   </w:t>
      </w:r>
    </w:p>
    <w:p w:rsidR="00BD3F95" w:rsidRPr="00BD3F95" w:rsidRDefault="00BD3F95" w:rsidP="00BD3F95">
      <w:pPr>
        <w:spacing w:line="360" w:lineRule="auto"/>
        <w:ind w:firstLineChars="59" w:firstLine="142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1、项目服务期限（完成期限）：投标人在201</w:t>
      </w:r>
      <w:r w:rsidRPr="00BD3F95">
        <w:rPr>
          <w:rFonts w:ascii="仿宋" w:eastAsia="仿宋" w:hAnsi="仿宋" w:cs="宋体"/>
          <w:kern w:val="0"/>
          <w:sz w:val="24"/>
          <w:szCs w:val="24"/>
        </w:rPr>
        <w:t>8</w:t>
      </w: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年12月31日前完成全部工作。</w:t>
      </w:r>
    </w:p>
    <w:p w:rsidR="00BD3F95" w:rsidRPr="00BD3F95" w:rsidRDefault="00BD3F95" w:rsidP="00BD3F95">
      <w:pPr>
        <w:spacing w:line="360" w:lineRule="auto"/>
        <w:ind w:leftChars="59" w:left="364" w:hangingChars="100" w:hanging="240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/>
          <w:kern w:val="0"/>
          <w:sz w:val="24"/>
          <w:szCs w:val="24"/>
        </w:rPr>
        <w:t>2</w:t>
      </w: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、项目进度安排：投标人需根据招标人要求完成2018年全市2次政府网站绩效评估并提交评分报告，其他工作在201</w:t>
      </w:r>
      <w:r w:rsidRPr="00BD3F95">
        <w:rPr>
          <w:rFonts w:ascii="仿宋" w:eastAsia="仿宋" w:hAnsi="仿宋" w:cs="宋体"/>
          <w:kern w:val="0"/>
          <w:sz w:val="24"/>
          <w:szCs w:val="24"/>
        </w:rPr>
        <w:t>8</w:t>
      </w: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年12月31日前完成。</w:t>
      </w:r>
    </w:p>
    <w:p w:rsidR="00BD3F95" w:rsidRPr="00BD3F95" w:rsidRDefault="00BD3F95" w:rsidP="00BD3F95">
      <w:pPr>
        <w:spacing w:line="360" w:lineRule="auto"/>
        <w:ind w:leftChars="159" w:left="334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付款方式：合同签订后，收到发票后60个工作日内，支付总额的30%；项目验收通过后，收到发票后60个工作日内，支付项目余款。</w:t>
      </w:r>
    </w:p>
    <w:p w:rsidR="00BD3F95" w:rsidRPr="00BD3F95" w:rsidRDefault="00BD3F95" w:rsidP="00BD3F95">
      <w:pPr>
        <w:spacing w:line="360" w:lineRule="auto"/>
        <w:ind w:firstLineChars="59" w:firstLine="142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3、验收要求：乙方完成全部项目采购内容后，提出验收申请，由甲方组织验收。</w:t>
      </w:r>
    </w:p>
    <w:p w:rsidR="00BD3F95" w:rsidRPr="00BD3F95" w:rsidRDefault="00BD3F95" w:rsidP="00BD3F95">
      <w:pPr>
        <w:spacing w:line="360" w:lineRule="auto"/>
        <w:ind w:firstLineChars="59" w:firstLine="142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/>
          <w:kern w:val="0"/>
          <w:sz w:val="24"/>
          <w:szCs w:val="24"/>
        </w:rPr>
        <w:t>4</w:t>
      </w: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、验收标准：通过上级部门对项目完成情况审核为合格的用户意见。</w:t>
      </w:r>
    </w:p>
    <w:p w:rsidR="00BD3F95" w:rsidRPr="00BD3F95" w:rsidRDefault="00BD3F95" w:rsidP="00BD3F95">
      <w:pPr>
        <w:spacing w:line="360" w:lineRule="auto"/>
        <w:ind w:firstLineChars="59" w:firstLine="142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/>
          <w:kern w:val="0"/>
          <w:sz w:val="24"/>
          <w:szCs w:val="24"/>
        </w:rPr>
        <w:t>5</w:t>
      </w: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、培训要求：至少开展1次全市性培训，讲解指标体系、发展趋势等。</w:t>
      </w:r>
    </w:p>
    <w:p w:rsidR="00BD3F95" w:rsidRPr="00BD3F95" w:rsidRDefault="00BD3F95" w:rsidP="00BD3F95">
      <w:pPr>
        <w:spacing w:line="360" w:lineRule="auto"/>
        <w:ind w:leftChars="59" w:left="484" w:hangingChars="150" w:hanging="360"/>
        <w:rPr>
          <w:rFonts w:ascii="仿宋" w:eastAsia="仿宋" w:hAnsi="仿宋" w:cs="宋体"/>
          <w:kern w:val="0"/>
          <w:sz w:val="24"/>
          <w:szCs w:val="24"/>
        </w:rPr>
      </w:pPr>
      <w:r w:rsidRPr="00BD3F95">
        <w:rPr>
          <w:rFonts w:ascii="仿宋" w:eastAsia="仿宋" w:hAnsi="仿宋" w:cs="宋体"/>
          <w:kern w:val="0"/>
          <w:sz w:val="24"/>
          <w:szCs w:val="24"/>
        </w:rPr>
        <w:t>6</w:t>
      </w: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、售后服务要求：在售后服务期内，一旦发生问题，投标人保证在接到通知24小时内赶到现场进行处理。</w:t>
      </w:r>
    </w:p>
    <w:p w:rsidR="00E34D08" w:rsidRPr="00BD3F95" w:rsidRDefault="00BD3F95" w:rsidP="00BD3F95">
      <w:r w:rsidRPr="00BD3F95">
        <w:rPr>
          <w:rFonts w:ascii="仿宋" w:eastAsia="仿宋" w:hAnsi="仿宋" w:cs="宋体"/>
          <w:kern w:val="0"/>
          <w:sz w:val="24"/>
          <w:szCs w:val="24"/>
        </w:rPr>
        <w:t>7</w:t>
      </w:r>
      <w:r w:rsidRPr="00BD3F95">
        <w:rPr>
          <w:rFonts w:ascii="仿宋" w:eastAsia="仿宋" w:hAnsi="仿宋" w:cs="宋体" w:hint="eastAsia"/>
          <w:kern w:val="0"/>
          <w:sz w:val="24"/>
          <w:szCs w:val="24"/>
        </w:rPr>
        <w:t>、投标方必须将项目实施、技术支持和培训、售后服务、验收评审等各项费用计入总投标价之内。</w:t>
      </w:r>
    </w:p>
    <w:sectPr w:rsidR="00E34D08" w:rsidRPr="00BD3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67"/>
    <w:rsid w:val="000E0AD6"/>
    <w:rsid w:val="000E24B2"/>
    <w:rsid w:val="00391D2A"/>
    <w:rsid w:val="0087030C"/>
    <w:rsid w:val="00AE721F"/>
    <w:rsid w:val="00BD3F95"/>
    <w:rsid w:val="00BE7455"/>
    <w:rsid w:val="00D71CF8"/>
    <w:rsid w:val="00E34D08"/>
    <w:rsid w:val="00F07B67"/>
    <w:rsid w:val="00F5791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D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D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D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D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940</Words>
  <Characters>5358</Characters>
  <Application>Microsoft Office Word</Application>
  <DocSecurity>0</DocSecurity>
  <Lines>44</Lines>
  <Paragraphs>12</Paragraphs>
  <ScaleCrop>false</ScaleCrop>
  <Company>china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WK</cp:lastModifiedBy>
  <cp:revision>10</cp:revision>
  <dcterms:created xsi:type="dcterms:W3CDTF">2018-07-14T05:06:00Z</dcterms:created>
  <dcterms:modified xsi:type="dcterms:W3CDTF">2018-09-12T04:12:00Z</dcterms:modified>
</cp:coreProperties>
</file>