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1F" w:rsidRPr="0029091F" w:rsidRDefault="0029091F" w:rsidP="0029091F">
      <w:pPr>
        <w:wordWrap w:val="0"/>
        <w:adjustRightInd w:val="0"/>
        <w:snapToGrid w:val="0"/>
        <w:spacing w:line="360" w:lineRule="auto"/>
        <w:jc w:val="center"/>
        <w:outlineLvl w:val="0"/>
        <w:rPr>
          <w:rFonts w:ascii="新宋体" w:eastAsia="新宋体" w:hAnsi="新宋体" w:cs="Arial"/>
          <w:b/>
          <w:bCs/>
          <w:sz w:val="32"/>
          <w:szCs w:val="32"/>
        </w:rPr>
      </w:pPr>
      <w:r w:rsidRPr="0029091F">
        <w:rPr>
          <w:rFonts w:ascii="新宋体" w:eastAsia="新宋体" w:hAnsi="新宋体" w:cs="Times New Roman" w:hint="eastAsia"/>
          <w:b/>
          <w:bCs/>
          <w:sz w:val="30"/>
          <w:szCs w:val="30"/>
        </w:rPr>
        <w:t>项目需求</w:t>
      </w:r>
      <w:r w:rsidRPr="0029091F">
        <w:rPr>
          <w:rFonts w:ascii="新宋体" w:eastAsia="新宋体" w:hAnsi="新宋体" w:cs="Arial" w:hint="eastAsia"/>
          <w:b/>
          <w:bCs/>
          <w:sz w:val="30"/>
          <w:szCs w:val="30"/>
        </w:rPr>
        <w:t xml:space="preserve"> </w:t>
      </w:r>
    </w:p>
    <w:p w:rsidR="0029091F" w:rsidRPr="0029091F" w:rsidRDefault="0029091F" w:rsidP="0029091F">
      <w:pPr>
        <w:widowControl/>
        <w:shd w:val="clear" w:color="auto" w:fill="FFFFFF"/>
        <w:wordWrap w:val="0"/>
        <w:adjustRightInd w:val="0"/>
        <w:snapToGrid w:val="0"/>
        <w:spacing w:line="360" w:lineRule="auto"/>
        <w:ind w:left="632" w:hangingChars="300" w:hanging="632"/>
        <w:jc w:val="left"/>
        <w:rPr>
          <w:rFonts w:ascii="新宋体" w:eastAsia="新宋体" w:hAnsi="新宋体" w:cs="宋体"/>
          <w:b/>
          <w:kern w:val="0"/>
          <w:szCs w:val="21"/>
        </w:rPr>
      </w:pPr>
      <w:r w:rsidRPr="0029091F">
        <w:rPr>
          <w:rFonts w:ascii="新宋体" w:eastAsia="新宋体" w:hAnsi="新宋体" w:cs="宋体" w:hint="eastAsia"/>
          <w:b/>
          <w:kern w:val="0"/>
          <w:szCs w:val="21"/>
        </w:rPr>
        <w:t>一、项目背景</w:t>
      </w:r>
    </w:p>
    <w:p w:rsidR="0029091F" w:rsidRPr="0029091F" w:rsidRDefault="0029091F" w:rsidP="0029091F">
      <w:pPr>
        <w:widowControl/>
        <w:shd w:val="clear" w:color="auto" w:fill="FFFFFF"/>
        <w:wordWrap w:val="0"/>
        <w:adjustRightInd w:val="0"/>
        <w:snapToGrid w:val="0"/>
        <w:spacing w:line="360" w:lineRule="auto"/>
        <w:ind w:leftChars="1" w:left="2"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深圳市信息安全测评中心（深圳市网络与信息安全应急处置协调中心）（以下简称“我中心”）承担深圳市网络与信息安全检测、应急处置、技术协调和监测预警相关工作。如今移动应用的安全问题日益严峻，攻击手段复杂多变，攻击工具越来越简单智能，攻击后果具有很强破坏力。现我中心拟购买服务，提升全市党政机关移动应用的安全水平，维护公共移动互联网网络安全。</w:t>
      </w:r>
    </w:p>
    <w:p w:rsidR="0029091F" w:rsidRPr="0029091F" w:rsidRDefault="0029091F" w:rsidP="0029091F">
      <w:pPr>
        <w:widowControl/>
        <w:shd w:val="clear" w:color="auto" w:fill="FFFFFF"/>
        <w:wordWrap w:val="0"/>
        <w:adjustRightInd w:val="0"/>
        <w:snapToGrid w:val="0"/>
        <w:spacing w:line="360" w:lineRule="auto"/>
        <w:ind w:left="632" w:hangingChars="300" w:hanging="632"/>
        <w:jc w:val="left"/>
        <w:rPr>
          <w:rFonts w:ascii="新宋体" w:eastAsia="新宋体" w:hAnsi="新宋体" w:cs="宋体"/>
          <w:b/>
          <w:kern w:val="0"/>
          <w:szCs w:val="21"/>
        </w:rPr>
      </w:pPr>
      <w:r w:rsidRPr="0029091F">
        <w:rPr>
          <w:rFonts w:ascii="新宋体" w:eastAsia="新宋体" w:hAnsi="新宋体" w:cs="宋体" w:hint="eastAsia"/>
          <w:b/>
          <w:kern w:val="0"/>
          <w:szCs w:val="21"/>
        </w:rPr>
        <w:t>二、具体技术要求</w:t>
      </w:r>
    </w:p>
    <w:p w:rsidR="0029091F" w:rsidRPr="0029091F" w:rsidRDefault="0029091F" w:rsidP="0029091F">
      <w:pPr>
        <w:widowControl/>
        <w:shd w:val="clear" w:color="auto" w:fill="FFFFFF"/>
        <w:wordWrap w:val="0"/>
        <w:adjustRightInd w:val="0"/>
        <w:snapToGrid w:val="0"/>
        <w:spacing w:line="360"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（一）租用两套移动应用安全检测工具</w:t>
      </w:r>
    </w:p>
    <w:p w:rsidR="0029091F" w:rsidRPr="0029091F" w:rsidRDefault="0029091F" w:rsidP="0029091F">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针对我中心指定移动App和</w:t>
      </w:r>
      <w:proofErr w:type="gramStart"/>
      <w:r w:rsidRPr="0029091F">
        <w:rPr>
          <w:rFonts w:ascii="新宋体" w:eastAsia="新宋体" w:hAnsi="新宋体" w:cs="宋体" w:hint="eastAsia"/>
          <w:kern w:val="0"/>
          <w:szCs w:val="21"/>
        </w:rPr>
        <w:t>微信公众号</w:t>
      </w:r>
      <w:proofErr w:type="gramEnd"/>
      <w:r w:rsidRPr="0029091F">
        <w:rPr>
          <w:rFonts w:ascii="新宋体" w:eastAsia="新宋体" w:hAnsi="新宋体" w:cs="宋体" w:hint="eastAsia"/>
          <w:kern w:val="0"/>
          <w:szCs w:val="21"/>
        </w:rPr>
        <w:t>（以下简称移动应用）进行为期一年的专项安全检测，覆盖移动应用的客户端自身安全、业务动态安全、通讯链路安全、服务器</w:t>
      </w:r>
      <w:proofErr w:type="gramStart"/>
      <w:r w:rsidRPr="0029091F">
        <w:rPr>
          <w:rFonts w:ascii="新宋体" w:eastAsia="新宋体" w:hAnsi="新宋体" w:cs="宋体" w:hint="eastAsia"/>
          <w:kern w:val="0"/>
          <w:szCs w:val="21"/>
        </w:rPr>
        <w:t>端安</w:t>
      </w:r>
      <w:proofErr w:type="gramEnd"/>
      <w:r w:rsidRPr="0029091F">
        <w:rPr>
          <w:rFonts w:ascii="新宋体" w:eastAsia="新宋体" w:hAnsi="新宋体" w:cs="宋体" w:hint="eastAsia"/>
          <w:kern w:val="0"/>
          <w:szCs w:val="21"/>
        </w:rPr>
        <w:t>全，出具安全检测报告。租用两套不同厂商的移动应用安全检测工具，两套工具及服务应满足如下要求：</w:t>
      </w:r>
    </w:p>
    <w:tbl>
      <w:tblPr>
        <w:tblW w:w="8931"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1"/>
        <w:gridCol w:w="1417"/>
        <w:gridCol w:w="6663"/>
      </w:tblGrid>
      <w:tr w:rsidR="0029091F" w:rsidRPr="0029091F" w:rsidTr="00E04183">
        <w:trPr>
          <w:trHeight w:val="21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基本</w:t>
            </w:r>
          </w:p>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要求</w:t>
            </w:r>
          </w:p>
        </w:tc>
        <w:tc>
          <w:tcPr>
            <w:tcW w:w="1417" w:type="dxa"/>
            <w:tcBorders>
              <w:top w:val="single" w:sz="8"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销售许可</w:t>
            </w:r>
          </w:p>
        </w:tc>
        <w:tc>
          <w:tcPr>
            <w:tcW w:w="6663" w:type="dxa"/>
            <w:tcBorders>
              <w:top w:val="single" w:sz="8"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▲拥有公安部颁发的销售许可证（移动应用安全风险评估或移动应用安全检测的产品类别）</w:t>
            </w:r>
          </w:p>
        </w:tc>
      </w:tr>
      <w:tr w:rsidR="0029091F" w:rsidRPr="0029091F" w:rsidTr="00E04183">
        <w:trPr>
          <w:trHeight w:val="21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软件著作权</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需具有计算机软件著作权登记证书（移动应用安全风险评估或移动应用安全检测的产品类别）</w:t>
            </w:r>
          </w:p>
        </w:tc>
      </w:tr>
      <w:tr w:rsidR="0029091F" w:rsidRPr="0029091F" w:rsidTr="00E04183">
        <w:trPr>
          <w:trHeight w:val="40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多平台兼容</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▲全面支持Android/</w:t>
            </w:r>
            <w:proofErr w:type="spellStart"/>
            <w:r w:rsidRPr="0029091F">
              <w:rPr>
                <w:rFonts w:ascii="新宋体" w:eastAsia="新宋体" w:hAnsi="新宋体" w:cs="宋体" w:hint="eastAsia"/>
                <w:kern w:val="0"/>
                <w:szCs w:val="21"/>
              </w:rPr>
              <w:t>iOS</w:t>
            </w:r>
            <w:proofErr w:type="spellEnd"/>
            <w:r w:rsidRPr="0029091F">
              <w:rPr>
                <w:rFonts w:ascii="新宋体" w:eastAsia="新宋体" w:hAnsi="新宋体" w:cs="宋体" w:hint="eastAsia"/>
                <w:kern w:val="0"/>
                <w:szCs w:val="21"/>
              </w:rPr>
              <w:t>应用和</w:t>
            </w:r>
            <w:proofErr w:type="gramStart"/>
            <w:r w:rsidRPr="0029091F">
              <w:rPr>
                <w:rFonts w:ascii="新宋体" w:eastAsia="新宋体" w:hAnsi="新宋体" w:cs="宋体" w:hint="eastAsia"/>
                <w:kern w:val="0"/>
                <w:szCs w:val="21"/>
              </w:rPr>
              <w:t>微信公众号</w:t>
            </w:r>
            <w:proofErr w:type="gramEnd"/>
            <w:r w:rsidRPr="0029091F">
              <w:rPr>
                <w:rFonts w:ascii="新宋体" w:eastAsia="新宋体" w:hAnsi="新宋体" w:cs="宋体" w:hint="eastAsia"/>
                <w:kern w:val="0"/>
                <w:szCs w:val="21"/>
              </w:rPr>
              <w:t>的真机检测</w:t>
            </w:r>
          </w:p>
        </w:tc>
      </w:tr>
      <w:tr w:rsidR="0029091F" w:rsidRPr="0029091F" w:rsidTr="00E04183">
        <w:trPr>
          <w:trHeight w:val="748"/>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部署方式</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将检测系统以</w:t>
            </w:r>
            <w:proofErr w:type="gramStart"/>
            <w:r w:rsidRPr="0029091F">
              <w:rPr>
                <w:rFonts w:ascii="新宋体" w:eastAsia="新宋体" w:hAnsi="新宋体" w:cs="宋体" w:hint="eastAsia"/>
                <w:kern w:val="0"/>
                <w:szCs w:val="21"/>
              </w:rPr>
              <w:t>私有云方式</w:t>
            </w:r>
            <w:proofErr w:type="gramEnd"/>
            <w:r w:rsidRPr="0029091F">
              <w:rPr>
                <w:rFonts w:ascii="新宋体" w:eastAsia="新宋体" w:hAnsi="新宋体" w:cs="宋体" w:hint="eastAsia"/>
                <w:kern w:val="0"/>
                <w:szCs w:val="21"/>
              </w:rPr>
              <w:t>部署在我中心，并提供工具调用接口，以便与我中心现有账号系统对接。</w:t>
            </w:r>
          </w:p>
        </w:tc>
      </w:tr>
      <w:tr w:rsidR="0029091F" w:rsidRPr="0029091F" w:rsidTr="00E04183">
        <w:trPr>
          <w:trHeight w:val="116"/>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日志管理</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检测系统可记录各账号的使用日志，保留至少半年。</w:t>
            </w:r>
          </w:p>
        </w:tc>
      </w:tr>
      <w:tr w:rsidR="0029091F" w:rsidRPr="0029091F" w:rsidTr="00E04183">
        <w:trPr>
          <w:trHeight w:val="301"/>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并发要求</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每套系统检测并发数至少为十个</w:t>
            </w:r>
          </w:p>
        </w:tc>
      </w:tr>
      <w:tr w:rsidR="0029091F" w:rsidRPr="0029091F" w:rsidTr="00E04183">
        <w:trPr>
          <w:trHeight w:val="1101"/>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报告要求</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支持自动导出报告，报告格式至少包括.doc、.</w:t>
            </w:r>
            <w:proofErr w:type="spellStart"/>
            <w:r w:rsidRPr="0029091F">
              <w:rPr>
                <w:rFonts w:ascii="新宋体" w:eastAsia="新宋体" w:hAnsi="新宋体" w:cs="宋体" w:hint="eastAsia"/>
                <w:kern w:val="0"/>
                <w:szCs w:val="21"/>
              </w:rPr>
              <w:t>pdf</w:t>
            </w:r>
            <w:proofErr w:type="spellEnd"/>
            <w:r w:rsidRPr="0029091F">
              <w:rPr>
                <w:rFonts w:ascii="新宋体" w:eastAsia="新宋体" w:hAnsi="新宋体" w:cs="宋体" w:hint="eastAsia"/>
                <w:kern w:val="0"/>
                <w:szCs w:val="21"/>
              </w:rPr>
              <w:t>、.xml。报告内容至少包括所有检测项以及所发现问题的漏洞名称、风险内容、风险级别、检测详情、修复建议等。</w:t>
            </w:r>
          </w:p>
        </w:tc>
      </w:tr>
      <w:tr w:rsidR="0029091F" w:rsidRPr="0029091F" w:rsidTr="00E04183">
        <w:trPr>
          <w:trHeight w:val="116"/>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漏洞名称及风险级别</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▲本次提供服务的两套移动应用安全检测工具扫描结果相同问题的漏洞名称及风险级别必须一致，</w:t>
            </w:r>
            <w:proofErr w:type="gramStart"/>
            <w:r w:rsidRPr="0029091F">
              <w:rPr>
                <w:rFonts w:ascii="新宋体" w:eastAsia="新宋体" w:hAnsi="新宋体" w:cs="宋体" w:hint="eastAsia"/>
                <w:kern w:val="0"/>
                <w:szCs w:val="21"/>
              </w:rPr>
              <w:t>由工具原</w:t>
            </w:r>
            <w:proofErr w:type="gramEnd"/>
            <w:r w:rsidRPr="0029091F">
              <w:rPr>
                <w:rFonts w:ascii="新宋体" w:eastAsia="新宋体" w:hAnsi="新宋体" w:cs="宋体" w:hint="eastAsia"/>
                <w:kern w:val="0"/>
                <w:szCs w:val="21"/>
              </w:rPr>
              <w:t>厂家提供承诺。</w:t>
            </w:r>
          </w:p>
        </w:tc>
      </w:tr>
      <w:tr w:rsidR="0029091F" w:rsidRPr="0029091F" w:rsidTr="00E04183">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检测方式</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应支持自动化静态逆向分析技术与动态化运行验证技术，检测APP静态与动态运行时的安全漏洞。</w:t>
            </w:r>
          </w:p>
        </w:tc>
      </w:tr>
      <w:tr w:rsidR="0029091F" w:rsidRPr="0029091F" w:rsidTr="00E04183">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更新要求</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必须要在五个工作日内将业界最新发现的病毒和漏洞更新到检测工具的病毒库和规则库内</w:t>
            </w:r>
          </w:p>
        </w:tc>
      </w:tr>
      <w:tr w:rsidR="0029091F" w:rsidRPr="0029091F" w:rsidTr="00E04183">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检测范围</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▲覆盖客户端自身安全、业务动态安全、通讯链路安全、服务器</w:t>
            </w:r>
            <w:proofErr w:type="gramStart"/>
            <w:r w:rsidRPr="0029091F">
              <w:rPr>
                <w:rFonts w:ascii="新宋体" w:eastAsia="新宋体" w:hAnsi="新宋体" w:cs="宋体" w:hint="eastAsia"/>
                <w:kern w:val="0"/>
                <w:szCs w:val="21"/>
              </w:rPr>
              <w:t>端安</w:t>
            </w:r>
            <w:proofErr w:type="gramEnd"/>
            <w:r w:rsidRPr="0029091F">
              <w:rPr>
                <w:rFonts w:ascii="新宋体" w:eastAsia="新宋体" w:hAnsi="新宋体" w:cs="宋体" w:hint="eastAsia"/>
                <w:kern w:val="0"/>
                <w:szCs w:val="21"/>
              </w:rPr>
              <w:t>全</w:t>
            </w:r>
          </w:p>
        </w:tc>
      </w:tr>
      <w:tr w:rsidR="0029091F" w:rsidRPr="0029091F" w:rsidTr="00E04183">
        <w:tc>
          <w:tcPr>
            <w:tcW w:w="851" w:type="dxa"/>
            <w:vMerge w:val="restart"/>
            <w:tcBorders>
              <w:top w:val="outset" w:sz="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检测项</w:t>
            </w: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基本信息检测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包括但不限于移动应用基本信息，应用权限，应用行为，第三方SDK等检测项</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恶意风险检</w:t>
            </w:r>
            <w:r w:rsidRPr="0029091F">
              <w:rPr>
                <w:rFonts w:ascii="新宋体" w:eastAsia="新宋体" w:hAnsi="新宋体" w:cs="宋体" w:hint="eastAsia"/>
                <w:kern w:val="0"/>
                <w:szCs w:val="21"/>
              </w:rPr>
              <w:lastRenderedPageBreak/>
              <w:t>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lastRenderedPageBreak/>
              <w:t>包括但不限于恶意程序，越权行为，启动隐藏服务风险，动态加载外部</w:t>
            </w:r>
            <w:r w:rsidRPr="0029091F">
              <w:rPr>
                <w:rFonts w:ascii="新宋体" w:eastAsia="新宋体" w:hAnsi="新宋体" w:cs="宋体" w:hint="eastAsia"/>
                <w:kern w:val="0"/>
                <w:szCs w:val="21"/>
              </w:rPr>
              <w:lastRenderedPageBreak/>
              <w:t>代码风险等检测项</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加固安全检测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包括但不限于加固分析、加固对抗，如Java代码加壳、加花、混淆，SO文件加固等。</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源码风险检测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包括但不限于拒绝服务攻击风险，应用完整性检测，程序签名保护检测，应用二次打包风险，Activity、</w:t>
            </w:r>
            <w:proofErr w:type="spellStart"/>
            <w:r w:rsidRPr="0029091F">
              <w:rPr>
                <w:rFonts w:ascii="新宋体" w:eastAsia="新宋体" w:hAnsi="新宋体" w:cs="宋体" w:hint="eastAsia"/>
                <w:kern w:val="0"/>
                <w:szCs w:val="21"/>
              </w:rPr>
              <w:t>Sevice</w:t>
            </w:r>
            <w:proofErr w:type="spellEnd"/>
            <w:r w:rsidRPr="0029091F">
              <w:rPr>
                <w:rFonts w:ascii="新宋体" w:eastAsia="新宋体" w:hAnsi="新宋体" w:cs="宋体" w:hint="eastAsia"/>
                <w:kern w:val="0"/>
                <w:szCs w:val="21"/>
              </w:rPr>
              <w:t>、Content Provider、Broadcast Receiver、Intent等组件检测项</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调试风险检测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包括但不限于Java代码动态调试风险，C代码动态调试风险，动态注入攻击风险等检测项</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通用风险检测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w:t>
            </w:r>
            <w:proofErr w:type="spellStart"/>
            <w:r w:rsidRPr="0029091F">
              <w:rPr>
                <w:rFonts w:ascii="新宋体" w:eastAsia="新宋体" w:hAnsi="新宋体" w:cs="宋体" w:hint="eastAsia"/>
                <w:kern w:val="0"/>
                <w:szCs w:val="21"/>
              </w:rPr>
              <w:t>Webview</w:t>
            </w:r>
            <w:proofErr w:type="spellEnd"/>
            <w:r w:rsidRPr="0029091F">
              <w:rPr>
                <w:rFonts w:ascii="新宋体" w:eastAsia="新宋体" w:hAnsi="新宋体" w:cs="宋体" w:hint="eastAsia"/>
                <w:kern w:val="0"/>
                <w:szCs w:val="21"/>
              </w:rPr>
              <w:t>明文存储密码漏洞，</w:t>
            </w:r>
            <w:proofErr w:type="spellStart"/>
            <w:r w:rsidRPr="0029091F">
              <w:rPr>
                <w:rFonts w:ascii="新宋体" w:eastAsia="新宋体" w:hAnsi="新宋体" w:cs="宋体" w:hint="eastAsia"/>
                <w:kern w:val="0"/>
                <w:szCs w:val="21"/>
              </w:rPr>
              <w:t>WebView</w:t>
            </w:r>
            <w:proofErr w:type="spellEnd"/>
            <w:r w:rsidRPr="0029091F">
              <w:rPr>
                <w:rFonts w:ascii="新宋体" w:eastAsia="新宋体" w:hAnsi="新宋体" w:cs="宋体" w:hint="eastAsia"/>
                <w:kern w:val="0"/>
                <w:szCs w:val="21"/>
              </w:rPr>
              <w:t>远程代码执行漏洞，</w:t>
            </w:r>
            <w:proofErr w:type="spellStart"/>
            <w:r w:rsidRPr="0029091F">
              <w:rPr>
                <w:rFonts w:ascii="新宋体" w:eastAsia="新宋体" w:hAnsi="新宋体" w:cs="宋体" w:hint="eastAsia"/>
                <w:kern w:val="0"/>
                <w:szCs w:val="21"/>
              </w:rPr>
              <w:t>WebView</w:t>
            </w:r>
            <w:proofErr w:type="spellEnd"/>
            <w:r w:rsidRPr="0029091F">
              <w:rPr>
                <w:rFonts w:ascii="新宋体" w:eastAsia="新宋体" w:hAnsi="新宋体" w:cs="宋体" w:hint="eastAsia"/>
                <w:kern w:val="0"/>
                <w:szCs w:val="21"/>
              </w:rPr>
              <w:t>组件忽略SSL证书验证错误漏洞，数据库注入漏洞等检测</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数据风险检测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包括但不限于内存Dump风险，RSA加密算法使用不当风险，密钥硬编码漏洞，动态注册Receiver风险等检测</w:t>
            </w:r>
          </w:p>
        </w:tc>
      </w:tr>
      <w:tr w:rsidR="0029091F" w:rsidRPr="0029091F" w:rsidTr="00E04183">
        <w:tc>
          <w:tcPr>
            <w:tcW w:w="851" w:type="dxa"/>
            <w:vMerge/>
            <w:tcBorders>
              <w:top w:val="outset" w:sz="2" w:space="0" w:color="000000"/>
              <w:left w:val="single" w:sz="8" w:space="0" w:color="000000"/>
              <w:bottom w:val="single" w:sz="8" w:space="0" w:color="000000"/>
              <w:right w:val="single" w:sz="8" w:space="0" w:color="000000"/>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proofErr w:type="gramStart"/>
            <w:r w:rsidRPr="0029091F">
              <w:rPr>
                <w:rFonts w:ascii="新宋体" w:eastAsia="新宋体" w:hAnsi="新宋体" w:cs="宋体" w:hint="eastAsia"/>
                <w:kern w:val="0"/>
                <w:szCs w:val="21"/>
              </w:rPr>
              <w:t>务</w:t>
            </w:r>
            <w:proofErr w:type="gramEnd"/>
            <w:r w:rsidRPr="0029091F">
              <w:rPr>
                <w:rFonts w:ascii="新宋体" w:eastAsia="新宋体" w:hAnsi="新宋体" w:cs="宋体" w:hint="eastAsia"/>
                <w:kern w:val="0"/>
                <w:szCs w:val="21"/>
              </w:rPr>
              <w:t>风险检测</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包括但不限于系统键盘使用风险，关键界面劫持风险，SSL证书有效性风险，HTTP传输通道风险，应用超时链接风险等检测</w:t>
            </w:r>
          </w:p>
        </w:tc>
      </w:tr>
      <w:tr w:rsidR="0029091F" w:rsidRPr="0029091F" w:rsidTr="00E04183">
        <w:trPr>
          <w:trHeight w:val="782"/>
        </w:trPr>
        <w:tc>
          <w:tcPr>
            <w:tcW w:w="851" w:type="dxa"/>
            <w:tcBorders>
              <w:top w:val="outset" w:sz="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技术支持</w:t>
            </w:r>
          </w:p>
        </w:tc>
        <w:tc>
          <w:tcPr>
            <w:tcW w:w="1417"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rPr>
                <w:rFonts w:ascii="新宋体" w:eastAsia="新宋体" w:hAnsi="新宋体" w:cs="宋体"/>
                <w:kern w:val="0"/>
                <w:szCs w:val="21"/>
              </w:rPr>
            </w:pPr>
            <w:r w:rsidRPr="0029091F">
              <w:rPr>
                <w:rFonts w:ascii="新宋体" w:eastAsia="新宋体" w:hAnsi="新宋体" w:cs="宋体" w:hint="eastAsia"/>
                <w:kern w:val="0"/>
                <w:szCs w:val="21"/>
              </w:rPr>
              <w:t>技术支持</w:t>
            </w:r>
          </w:p>
        </w:tc>
        <w:tc>
          <w:tcPr>
            <w:tcW w:w="6663"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rPr>
                <w:rFonts w:ascii="新宋体" w:eastAsia="新宋体" w:hAnsi="新宋体" w:cs="宋体"/>
                <w:kern w:val="0"/>
                <w:szCs w:val="21"/>
              </w:rPr>
            </w:pPr>
            <w:r w:rsidRPr="0029091F">
              <w:rPr>
                <w:rFonts w:ascii="新宋体" w:eastAsia="新宋体" w:hAnsi="新宋体" w:cs="宋体" w:hint="eastAsia"/>
                <w:kern w:val="0"/>
                <w:szCs w:val="21"/>
              </w:rPr>
              <w:t>对检测结果进行解释；检测工具发生技术问题导致无法检测时，支持团队需在30分钟内提供现场支持，4小时内解决问题。</w:t>
            </w:r>
          </w:p>
        </w:tc>
      </w:tr>
    </w:tbl>
    <w:p w:rsidR="0029091F" w:rsidRPr="0029091F" w:rsidRDefault="0029091F" w:rsidP="0029091F">
      <w:pPr>
        <w:widowControl/>
        <w:shd w:val="clear" w:color="auto" w:fill="FFFFFF"/>
        <w:wordWrap w:val="0"/>
        <w:adjustRightInd w:val="0"/>
        <w:snapToGrid w:val="0"/>
        <w:spacing w:line="360"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（二）渗透测试服务</w:t>
      </w:r>
    </w:p>
    <w:p w:rsidR="0029091F" w:rsidRPr="0029091F" w:rsidRDefault="0029091F" w:rsidP="0029091F">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人工渗透应模拟黑客的攻击方式，针对我中心指定Web、移动应用等信息系统，进行专业的渗透测试，最大程度地挖掘系统中存在的安全隐患，并提供专业的漏洞安全修复建议。</w:t>
      </w:r>
    </w:p>
    <w:p w:rsidR="0029091F" w:rsidRPr="0029091F" w:rsidRDefault="0029091F" w:rsidP="0029091F">
      <w:pPr>
        <w:widowControl/>
        <w:shd w:val="clear" w:color="auto" w:fill="FFFFFF"/>
        <w:wordWrap w:val="0"/>
        <w:adjustRightInd w:val="0"/>
        <w:snapToGrid w:val="0"/>
        <w:spacing w:line="360"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（三）移动应用安全监测预警服务</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针对我中心指定移动应用开展安全监测预警服务，定期出具安全监测报告。服务要求如下：</w:t>
      </w:r>
    </w:p>
    <w:tbl>
      <w:tblPr>
        <w:tblW w:w="8789" w:type="dxa"/>
        <w:tblInd w:w="1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2"/>
        <w:gridCol w:w="1276"/>
        <w:gridCol w:w="6521"/>
      </w:tblGrid>
      <w:tr w:rsidR="0029091F" w:rsidRPr="0029091F" w:rsidTr="00E04183">
        <w:trPr>
          <w:trHeight w:val="470"/>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技术要求</w:t>
            </w:r>
          </w:p>
        </w:tc>
        <w:tc>
          <w:tcPr>
            <w:tcW w:w="1276" w:type="dxa"/>
            <w:vMerge w:val="restart"/>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安全漏洞监测</w:t>
            </w:r>
          </w:p>
        </w:tc>
        <w:tc>
          <w:tcPr>
            <w:tcW w:w="6521"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针对目标移动应用进行定期安全监测，监测周期不超过一个月，针对高中危漏洞进行人工验证后出具详细报告</w:t>
            </w:r>
          </w:p>
        </w:tc>
      </w:tr>
      <w:tr w:rsidR="0029091F" w:rsidRPr="0029091F" w:rsidTr="00E04183">
        <w:trPr>
          <w:trHeight w:val="460"/>
        </w:trPr>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276" w:type="dxa"/>
            <w:vMerge/>
            <w:tcBorders>
              <w:top w:val="single" w:sz="8" w:space="0" w:color="auto"/>
              <w:left w:val="outset" w:sz="2" w:space="0" w:color="000000"/>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652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覆盖客户端自身安全、业务动态安全、通讯链路安全、服务器</w:t>
            </w:r>
            <w:proofErr w:type="gramStart"/>
            <w:r w:rsidRPr="0029091F">
              <w:rPr>
                <w:rFonts w:ascii="新宋体" w:eastAsia="新宋体" w:hAnsi="新宋体" w:cs="宋体" w:hint="eastAsia"/>
                <w:kern w:val="0"/>
                <w:szCs w:val="21"/>
              </w:rPr>
              <w:t>端安</w:t>
            </w:r>
            <w:proofErr w:type="gramEnd"/>
            <w:r w:rsidRPr="0029091F">
              <w:rPr>
                <w:rFonts w:ascii="新宋体" w:eastAsia="新宋体" w:hAnsi="新宋体" w:cs="宋体" w:hint="eastAsia"/>
                <w:kern w:val="0"/>
                <w:szCs w:val="21"/>
              </w:rPr>
              <w:t>全</w:t>
            </w:r>
          </w:p>
        </w:tc>
      </w:tr>
      <w:tr w:rsidR="0029091F" w:rsidRPr="0029091F" w:rsidTr="00E04183">
        <w:trPr>
          <w:trHeight w:val="470"/>
        </w:trPr>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276" w:type="dxa"/>
            <w:vMerge w:val="restart"/>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仿冒应用监测</w:t>
            </w:r>
          </w:p>
        </w:tc>
        <w:tc>
          <w:tcPr>
            <w:tcW w:w="652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proofErr w:type="gramStart"/>
            <w:r w:rsidRPr="0029091F">
              <w:rPr>
                <w:rFonts w:ascii="新宋体" w:eastAsia="新宋体" w:hAnsi="新宋体" w:cs="宋体" w:hint="eastAsia"/>
                <w:kern w:val="0"/>
                <w:szCs w:val="21"/>
              </w:rPr>
              <w:t>需支持</w:t>
            </w:r>
            <w:proofErr w:type="gramEnd"/>
            <w:r w:rsidRPr="0029091F">
              <w:rPr>
                <w:rFonts w:ascii="新宋体" w:eastAsia="新宋体" w:hAnsi="新宋体" w:cs="宋体" w:hint="eastAsia"/>
                <w:kern w:val="0"/>
                <w:szCs w:val="21"/>
              </w:rPr>
              <w:t>获取主流APP推广渠道信息，监控所有APP相关渠道的信息，包括：版本、渠道、下载源、下载量等</w:t>
            </w:r>
          </w:p>
        </w:tc>
      </w:tr>
      <w:tr w:rsidR="0029091F" w:rsidRPr="0029091F" w:rsidTr="00E04183">
        <w:trPr>
          <w:trHeight w:val="470"/>
        </w:trPr>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276" w:type="dxa"/>
            <w:vMerge/>
            <w:tcBorders>
              <w:top w:val="outset" w:sz="2" w:space="0" w:color="000000"/>
              <w:left w:val="outset" w:sz="2" w:space="0" w:color="000000"/>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652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支持对比正版与盗版应用的文件差异，并支持差异文件列表下载。差异文件包括新增文件、缺失文件、更新文件。</w:t>
            </w:r>
          </w:p>
        </w:tc>
      </w:tr>
      <w:tr w:rsidR="0029091F" w:rsidRPr="0029091F" w:rsidTr="00E04183">
        <w:trPr>
          <w:trHeight w:val="1153"/>
        </w:trPr>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276" w:type="dxa"/>
            <w:vMerge/>
            <w:tcBorders>
              <w:top w:val="outset" w:sz="2" w:space="0" w:color="000000"/>
              <w:left w:val="outset" w:sz="2" w:space="0" w:color="000000"/>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652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支持通过文件HASH比对的方法，可以发现盗版应用被修改或添加的文件信息。APK的基本信息对比主要包括正、盗版相关包名、版本信息、版本号、签名MD5值进行数据对比与展示。</w:t>
            </w:r>
          </w:p>
        </w:tc>
      </w:tr>
      <w:tr w:rsidR="0029091F" w:rsidRPr="0029091F" w:rsidTr="00E04183">
        <w:trPr>
          <w:trHeight w:val="470"/>
        </w:trPr>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p>
        </w:tc>
        <w:tc>
          <w:tcPr>
            <w:tcW w:w="12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数据对接</w:t>
            </w:r>
          </w:p>
        </w:tc>
        <w:tc>
          <w:tcPr>
            <w:tcW w:w="652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中标方提供数据对接接口，以便在我中心系统中展示。</w:t>
            </w:r>
          </w:p>
        </w:tc>
      </w:tr>
      <w:tr w:rsidR="0029091F" w:rsidRPr="0029091F" w:rsidTr="00E04183">
        <w:trPr>
          <w:trHeight w:val="988"/>
        </w:trPr>
        <w:tc>
          <w:tcPr>
            <w:tcW w:w="992"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lastRenderedPageBreak/>
              <w:t>服务要求</w:t>
            </w:r>
          </w:p>
        </w:tc>
        <w:tc>
          <w:tcPr>
            <w:tcW w:w="12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定期发布监测报告</w:t>
            </w:r>
          </w:p>
        </w:tc>
        <w:tc>
          <w:tcPr>
            <w:tcW w:w="652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每月根据当月监测情况，发布详细监测报告。</w:t>
            </w:r>
          </w:p>
        </w:tc>
      </w:tr>
    </w:tbl>
    <w:p w:rsidR="0029091F" w:rsidRPr="0029091F" w:rsidRDefault="0029091F" w:rsidP="0029091F">
      <w:pPr>
        <w:widowControl/>
        <w:shd w:val="clear" w:color="auto" w:fill="FFFFFF"/>
        <w:wordWrap w:val="0"/>
        <w:adjustRightInd w:val="0"/>
        <w:snapToGrid w:val="0"/>
        <w:spacing w:line="360"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（四）移动应用安全威胁情报</w:t>
      </w:r>
    </w:p>
    <w:p w:rsidR="0029091F" w:rsidRPr="0029091F" w:rsidRDefault="0029091F" w:rsidP="0029091F">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威胁情报体系对实施移动应用安全监测预警非常重要，购买移动应用的安全情报可解决我市缺少威胁情报来源和情报难以甄别的问题，要求如下：</w:t>
      </w:r>
    </w:p>
    <w:tbl>
      <w:tblPr>
        <w:tblW w:w="8789"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4"/>
        <w:gridCol w:w="7655"/>
      </w:tblGrid>
      <w:tr w:rsidR="0029091F" w:rsidRPr="0029091F" w:rsidTr="007D3F7A">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安全动态</w:t>
            </w:r>
          </w:p>
        </w:tc>
        <w:tc>
          <w:tcPr>
            <w:tcW w:w="7655" w:type="dxa"/>
            <w:tcBorders>
              <w:top w:val="single" w:sz="8"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每周提供深圳属地的移动应用相关的威胁情报及安全动态，包含但不限于恶意/攻击行为鉴别（IP、域名、文件、最新漏洞）、行为定性（目的、动机、组织）、 事件溯源（历史事件、事</w:t>
            </w:r>
            <w:bookmarkStart w:id="0" w:name="_GoBack"/>
            <w:bookmarkEnd w:id="0"/>
            <w:r w:rsidRPr="0029091F">
              <w:rPr>
                <w:rFonts w:ascii="新宋体" w:eastAsia="新宋体" w:hAnsi="新宋体" w:cs="宋体" w:hint="eastAsia"/>
                <w:kern w:val="0"/>
                <w:szCs w:val="21"/>
              </w:rPr>
              <w:t>件关联）、 安全监控（监控变化、异常），覆盖业界移动应用新型高危风险及0day安全漏洞。</w:t>
            </w:r>
          </w:p>
        </w:tc>
      </w:tr>
      <w:tr w:rsidR="0029091F" w:rsidRPr="0029091F" w:rsidTr="007D3F7A">
        <w:tc>
          <w:tcPr>
            <w:tcW w:w="1134" w:type="dxa"/>
            <w:tcBorders>
              <w:top w:val="outset" w:sz="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安全态势</w:t>
            </w:r>
          </w:p>
        </w:tc>
        <w:tc>
          <w:tcPr>
            <w:tcW w:w="7655"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每月、每季度、每年提供深圳属地及在深圳发布的移动应用安全态势报告及在全省、全国的各类（恶意应用、高危应用、仿冒应用等）占比情况，安全态势报告内容应包含对安全动态中所有内容的梳理及统计分析。</w:t>
            </w:r>
          </w:p>
        </w:tc>
      </w:tr>
      <w:tr w:rsidR="0029091F" w:rsidRPr="0029091F" w:rsidTr="007D3F7A">
        <w:tc>
          <w:tcPr>
            <w:tcW w:w="1134" w:type="dxa"/>
            <w:tcBorders>
              <w:top w:val="outset" w:sz="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专项威胁分析</w:t>
            </w:r>
          </w:p>
        </w:tc>
        <w:tc>
          <w:tcPr>
            <w:tcW w:w="7655"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依据威胁情报出现的最新安全漏洞对深圳属地及在深圳发布的移动应用输出安全专项态势报告。</w:t>
            </w:r>
          </w:p>
        </w:tc>
      </w:tr>
      <w:tr w:rsidR="0029091F" w:rsidRPr="0029091F" w:rsidTr="007D3F7A">
        <w:tc>
          <w:tcPr>
            <w:tcW w:w="1134" w:type="dxa"/>
            <w:tcBorders>
              <w:top w:val="outset" w:sz="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安全应急</w:t>
            </w:r>
          </w:p>
        </w:tc>
        <w:tc>
          <w:tcPr>
            <w:tcW w:w="7655" w:type="dxa"/>
            <w:tcBorders>
              <w:top w:val="outset" w:sz="2" w:space="0" w:color="000000"/>
              <w:left w:val="outset" w:sz="2"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9091F" w:rsidRPr="0029091F" w:rsidRDefault="0029091F" w:rsidP="007D3F7A">
            <w:pPr>
              <w:widowControl/>
              <w:shd w:val="clear" w:color="auto" w:fill="FFFFFF"/>
              <w:wordWrap w:val="0"/>
              <w:adjustRightInd w:val="0"/>
              <w:snapToGrid w:val="0"/>
              <w:spacing w:line="276" w:lineRule="auto"/>
              <w:jc w:val="left"/>
              <w:rPr>
                <w:rFonts w:ascii="新宋体" w:eastAsia="新宋体" w:hAnsi="新宋体" w:cs="宋体"/>
                <w:kern w:val="0"/>
                <w:szCs w:val="21"/>
              </w:rPr>
            </w:pPr>
            <w:r w:rsidRPr="0029091F">
              <w:rPr>
                <w:rFonts w:ascii="新宋体" w:eastAsia="新宋体" w:hAnsi="新宋体" w:cs="宋体" w:hint="eastAsia"/>
                <w:kern w:val="0"/>
                <w:szCs w:val="21"/>
              </w:rPr>
              <w:t>针对涉及移动应用的重大安全事件协助我中心进行应急处置。</w:t>
            </w:r>
          </w:p>
        </w:tc>
      </w:tr>
    </w:tbl>
    <w:p w:rsidR="0029091F" w:rsidRPr="0029091F" w:rsidRDefault="0029091F" w:rsidP="0029091F">
      <w:pPr>
        <w:widowControl/>
        <w:shd w:val="clear" w:color="auto" w:fill="FFFFFF"/>
        <w:wordWrap w:val="0"/>
        <w:adjustRightInd w:val="0"/>
        <w:snapToGrid w:val="0"/>
        <w:spacing w:line="360" w:lineRule="auto"/>
        <w:ind w:left="630" w:hangingChars="300" w:hanging="630"/>
        <w:jc w:val="left"/>
        <w:rPr>
          <w:rFonts w:ascii="新宋体" w:eastAsia="新宋体" w:hAnsi="新宋体" w:cs="宋体"/>
          <w:kern w:val="0"/>
          <w:szCs w:val="21"/>
        </w:rPr>
      </w:pPr>
      <w:r w:rsidRPr="0029091F">
        <w:rPr>
          <w:rFonts w:ascii="新宋体" w:eastAsia="新宋体" w:hAnsi="新宋体" w:cs="宋体" w:hint="eastAsia"/>
          <w:kern w:val="0"/>
          <w:szCs w:val="21"/>
        </w:rPr>
        <w:t>（五）驻场技术人员服务</w:t>
      </w:r>
    </w:p>
    <w:p w:rsidR="0029091F" w:rsidRPr="0029091F" w:rsidRDefault="0029091F" w:rsidP="0029091F">
      <w:pPr>
        <w:widowControl/>
        <w:shd w:val="clear" w:color="auto" w:fill="FFFFFF"/>
        <w:wordWrap w:val="0"/>
        <w:adjustRightInd w:val="0"/>
        <w:snapToGrid w:val="0"/>
        <w:spacing w:line="360" w:lineRule="auto"/>
        <w:ind w:firstLineChars="150" w:firstLine="315"/>
        <w:jc w:val="left"/>
        <w:rPr>
          <w:rFonts w:ascii="新宋体" w:eastAsia="新宋体" w:hAnsi="新宋体" w:cs="宋体"/>
          <w:kern w:val="0"/>
          <w:szCs w:val="21"/>
        </w:rPr>
      </w:pPr>
      <w:r w:rsidRPr="0029091F">
        <w:rPr>
          <w:rFonts w:ascii="新宋体" w:eastAsia="新宋体" w:hAnsi="新宋体" w:cs="宋体" w:hint="eastAsia"/>
          <w:kern w:val="0"/>
          <w:szCs w:val="21"/>
        </w:rPr>
        <w:t>两名移动应用安全检测工具原厂检测人员，提供社保或劳动合同证明。每名技术人员均需具备CISP或CISAW资质，并参与过至少3个移动应用安全检测项目经验（提供相关证明），能胜任本项目提出的各项技术服务要求。</w:t>
      </w:r>
    </w:p>
    <w:p w:rsidR="0029091F" w:rsidRPr="0029091F" w:rsidRDefault="0029091F" w:rsidP="0029091F">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两名专家级技术人员负责驻场渗透测试工作，每名技术人员均需参与过不少于三个渗透测试项目（需提供相关证明），并拥有国家或省部级CTF相关网络安全大赛及获奖经验（需提供相关证明），能充分胜任本项目提出的各项技术服务要求。</w:t>
      </w:r>
    </w:p>
    <w:p w:rsidR="0029091F" w:rsidRPr="0029091F" w:rsidRDefault="0029091F" w:rsidP="0029091F">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一名移动应用安全监测工具原厂监测人员，提供社保或劳动合同证明。人员参与过移动应用安全监测项目（提供相关证明），能胜任本项目提出的各项技术服务要求。</w:t>
      </w:r>
    </w:p>
    <w:p w:rsidR="0029091F" w:rsidRPr="0029091F" w:rsidRDefault="0029091F" w:rsidP="0029091F">
      <w:pPr>
        <w:widowControl/>
        <w:shd w:val="clear" w:color="auto" w:fill="FFFFFF"/>
        <w:wordWrap w:val="0"/>
        <w:adjustRightInd w:val="0"/>
        <w:snapToGrid w:val="0"/>
        <w:spacing w:line="360" w:lineRule="auto"/>
        <w:ind w:leftChars="228" w:left="689" w:hangingChars="100" w:hanging="210"/>
        <w:jc w:val="left"/>
        <w:rPr>
          <w:rFonts w:ascii="新宋体" w:eastAsia="新宋体" w:hAnsi="新宋体" w:cs="宋体"/>
          <w:kern w:val="0"/>
          <w:szCs w:val="21"/>
        </w:rPr>
      </w:pPr>
      <w:r w:rsidRPr="0029091F">
        <w:rPr>
          <w:rFonts w:ascii="新宋体" w:eastAsia="新宋体" w:hAnsi="新宋体" w:cs="宋体" w:hint="eastAsia"/>
          <w:kern w:val="0"/>
          <w:szCs w:val="21"/>
        </w:rPr>
        <w:t>以上五名驻场技术人员均需提供个人简历及无犯罪证明。</w:t>
      </w:r>
    </w:p>
    <w:p w:rsidR="0029091F" w:rsidRPr="0029091F" w:rsidRDefault="0029091F" w:rsidP="0029091F">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29091F">
        <w:rPr>
          <w:rFonts w:ascii="新宋体" w:eastAsia="新宋体" w:hAnsi="新宋体" w:cs="宋体" w:hint="eastAsia"/>
          <w:kern w:val="0"/>
          <w:szCs w:val="21"/>
        </w:rPr>
        <w:t>在服务期内，中标方不得擅自更换派驻的服务团队中的任何人员。对于不合格的人员，招标方有权要求更换。中标方须在收到招标方通知后一周内完成技术人员更换工作。</w:t>
      </w:r>
    </w:p>
    <w:p w:rsidR="0029091F" w:rsidRPr="0029091F" w:rsidRDefault="0029091F" w:rsidP="0029091F">
      <w:pPr>
        <w:widowControl/>
        <w:shd w:val="clear" w:color="auto" w:fill="FFFFFF"/>
        <w:wordWrap w:val="0"/>
        <w:adjustRightInd w:val="0"/>
        <w:snapToGrid w:val="0"/>
        <w:spacing w:line="360" w:lineRule="auto"/>
        <w:ind w:firstLineChars="200" w:firstLine="422"/>
        <w:jc w:val="left"/>
        <w:rPr>
          <w:rFonts w:ascii="新宋体" w:eastAsia="新宋体" w:hAnsi="新宋体" w:cs="宋体"/>
          <w:b/>
          <w:kern w:val="0"/>
          <w:szCs w:val="21"/>
        </w:rPr>
      </w:pPr>
      <w:r w:rsidRPr="0029091F">
        <w:rPr>
          <w:rFonts w:ascii="新宋体" w:eastAsia="新宋体" w:hAnsi="新宋体" w:cs="宋体" w:hint="eastAsia"/>
          <w:b/>
          <w:kern w:val="0"/>
          <w:szCs w:val="21"/>
        </w:rPr>
        <w:t>本项目中标单位在预中标公示期间，采购方有权要求中标人到使用单位做全套产品演示。不能提供产品测试或演示内容达不到招标要求的，采购单位有权拒绝签订合同并追究中标单位虚假应标责任。</w:t>
      </w:r>
    </w:p>
    <w:p w:rsidR="0029091F" w:rsidRPr="0029091F" w:rsidRDefault="0029091F" w:rsidP="0029091F">
      <w:pPr>
        <w:widowControl/>
        <w:shd w:val="clear" w:color="auto" w:fill="FFFFFF"/>
        <w:wordWrap w:val="0"/>
        <w:adjustRightInd w:val="0"/>
        <w:snapToGrid w:val="0"/>
        <w:spacing w:line="360" w:lineRule="auto"/>
        <w:ind w:left="632" w:hangingChars="300" w:hanging="632"/>
        <w:jc w:val="left"/>
        <w:rPr>
          <w:rFonts w:ascii="新宋体" w:eastAsia="新宋体" w:hAnsi="新宋体" w:cs="宋体"/>
          <w:b/>
          <w:kern w:val="0"/>
          <w:szCs w:val="21"/>
        </w:rPr>
      </w:pPr>
      <w:r w:rsidRPr="0029091F">
        <w:rPr>
          <w:rFonts w:ascii="新宋体" w:eastAsia="新宋体" w:hAnsi="新宋体" w:cs="宋体" w:hint="eastAsia"/>
          <w:b/>
          <w:kern w:val="0"/>
          <w:szCs w:val="21"/>
        </w:rPr>
        <w:t>三、商务需求</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1.投标人资质：见招标公告。</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2.服务期限：本项目服务期为一年,从合同签订之日起算起。服务期满如采购方评价满意可直接续签合同（最多续签两次）。</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lastRenderedPageBreak/>
        <w:t>3.服务质量要求：在服务期间，投标方应保证先于上级部门发现服务范围内的信息安全事件或漏洞。投标方和每个工具原厂商都需在深圳本地具备一定的技术服务能力，至少都要有拥有20人以上的技术团队（需提供</w:t>
      </w:r>
      <w:proofErr w:type="gramStart"/>
      <w:r w:rsidRPr="0029091F">
        <w:rPr>
          <w:rFonts w:ascii="新宋体" w:eastAsia="新宋体" w:hAnsi="新宋体" w:cs="宋体" w:hint="eastAsia"/>
          <w:kern w:val="0"/>
          <w:szCs w:val="21"/>
        </w:rPr>
        <w:t>社保证明</w:t>
      </w:r>
      <w:proofErr w:type="gramEnd"/>
      <w:r w:rsidRPr="0029091F">
        <w:rPr>
          <w:rFonts w:ascii="新宋体" w:eastAsia="新宋体" w:hAnsi="新宋体" w:cs="宋体" w:hint="eastAsia"/>
          <w:kern w:val="0"/>
          <w:szCs w:val="21"/>
        </w:rPr>
        <w:t>），并保证发生重大技术问题后技术团队可在30分钟内提供现场支持。</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4.培训</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（1）提供本项目所涉及的工具功能培训，并提供用户手册；</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（2）提供一次本项目所涉及的工具功能培训（含场地及教材费用），人数不超过200人；</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（3）提供一次移动应用安全技术培训（不少于两个工作日），培训讲师需具备编写地市及以上移动应用安全标准经历。</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5.保密要求：服务期间及服务期结束十年内，中标方必须对服务过程中接触的招标方以及相关方系统中所有信息和数据、服务过程中产生的所有信息和数据等进行严格的保密。不得以任何方式向外界传递或泄露任何相关信息或数据，一旦发现，将追究中标方的法律责任。服务过程中所产生所有文档资料和数据均为招标方所有。</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6.违约承诺：投标方违反投标书或合同的承诺（包含但不限于承诺的服务质量、保密要求等），需支付相应的违约金。</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7.系统部署时间要求：中标方须在2018年12月1日之前完成所有平台工具的部署、配置和调试，确保所有组件都可以投入运行。</w:t>
      </w:r>
    </w:p>
    <w:p w:rsidR="0029091F" w:rsidRPr="0029091F" w:rsidRDefault="0029091F" w:rsidP="0029091F">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29091F">
        <w:rPr>
          <w:rFonts w:ascii="新宋体" w:eastAsia="新宋体" w:hAnsi="新宋体" w:cs="宋体" w:hint="eastAsia"/>
          <w:kern w:val="0"/>
          <w:szCs w:val="21"/>
        </w:rPr>
        <w:t>8.付款要求：合同签订且项目所有服务人员到位后，招标方向中标方支付首付款，付款金额为合同总金额的70%。</w:t>
      </w:r>
      <w:proofErr w:type="gramStart"/>
      <w:r w:rsidRPr="0029091F">
        <w:rPr>
          <w:rFonts w:ascii="新宋体" w:eastAsia="新宋体" w:hAnsi="新宋体" w:cs="宋体" w:hint="eastAsia"/>
          <w:kern w:val="0"/>
          <w:szCs w:val="21"/>
        </w:rPr>
        <w:t>本服务</w:t>
      </w:r>
      <w:proofErr w:type="gramEnd"/>
      <w:r w:rsidRPr="0029091F">
        <w:rPr>
          <w:rFonts w:ascii="新宋体" w:eastAsia="新宋体" w:hAnsi="新宋体" w:cs="宋体" w:hint="eastAsia"/>
          <w:kern w:val="0"/>
          <w:szCs w:val="21"/>
        </w:rPr>
        <w:t>项目经招标方验收合格后，招标方向中标方支付尾款，付款金额为合同总金额的30%。</w:t>
      </w:r>
    </w:p>
    <w:p w:rsidR="00E34D08" w:rsidRPr="0029091F" w:rsidRDefault="00E34D08" w:rsidP="0029091F"/>
    <w:sectPr w:rsidR="00E34D08" w:rsidRPr="0029091F" w:rsidSect="00E34658">
      <w:headerReference w:type="default" r:id="rId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6" w:rsidRPr="00060ACA" w:rsidRDefault="004C6047"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4C6047">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4C6047">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E0AD6"/>
    <w:rsid w:val="000E24B2"/>
    <w:rsid w:val="00252393"/>
    <w:rsid w:val="0029091F"/>
    <w:rsid w:val="00391D2A"/>
    <w:rsid w:val="00407640"/>
    <w:rsid w:val="004C6047"/>
    <w:rsid w:val="00584311"/>
    <w:rsid w:val="007D3F7A"/>
    <w:rsid w:val="0087030C"/>
    <w:rsid w:val="00914F23"/>
    <w:rsid w:val="00AE721F"/>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530</Words>
  <Characters>3025</Characters>
  <Application>Microsoft Office Word</Application>
  <DocSecurity>0</DocSecurity>
  <Lines>25</Lines>
  <Paragraphs>7</Paragraphs>
  <ScaleCrop>false</ScaleCrop>
  <Company>china</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WK</cp:lastModifiedBy>
  <cp:revision>19</cp:revision>
  <dcterms:created xsi:type="dcterms:W3CDTF">2018-07-14T05:06:00Z</dcterms:created>
  <dcterms:modified xsi:type="dcterms:W3CDTF">2018-10-10T03:56:00Z</dcterms:modified>
</cp:coreProperties>
</file>