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0F" w:rsidRPr="001F6607" w:rsidRDefault="00474B0F" w:rsidP="00474B0F">
      <w:pPr>
        <w:wordWrap w:val="0"/>
        <w:adjustRightInd w:val="0"/>
        <w:snapToGrid w:val="0"/>
        <w:spacing w:line="360" w:lineRule="auto"/>
        <w:jc w:val="center"/>
        <w:outlineLvl w:val="0"/>
        <w:rPr>
          <w:rFonts w:asciiTheme="majorEastAsia" w:eastAsiaTheme="majorEastAsia" w:hAnsiTheme="majorEastAsia" w:cs="Arial"/>
          <w:b/>
          <w:bCs/>
          <w:sz w:val="36"/>
          <w:szCs w:val="36"/>
        </w:rPr>
      </w:pPr>
      <w:bookmarkStart w:id="0" w:name="_Toc533841967"/>
      <w:r w:rsidRPr="001F6607">
        <w:rPr>
          <w:rFonts w:asciiTheme="majorEastAsia" w:eastAsiaTheme="majorEastAsia" w:hAnsiTheme="majorEastAsia" w:cs="Times New Roman" w:hint="eastAsia"/>
          <w:b/>
          <w:bCs/>
          <w:sz w:val="36"/>
          <w:szCs w:val="36"/>
        </w:rPr>
        <w:t>第六章 项目需求</w:t>
      </w:r>
      <w:bookmarkEnd w:id="0"/>
      <w:r w:rsidRPr="001F6607">
        <w:rPr>
          <w:rFonts w:asciiTheme="majorEastAsia" w:eastAsiaTheme="majorEastAsia" w:hAnsiTheme="majorEastAsia" w:cs="Arial" w:hint="eastAsia"/>
          <w:b/>
          <w:bCs/>
          <w:sz w:val="36"/>
          <w:szCs w:val="36"/>
        </w:rPr>
        <w:t xml:space="preserve"> </w:t>
      </w:r>
    </w:p>
    <w:p w:rsidR="00474B0F" w:rsidRPr="001F6607" w:rsidRDefault="001F6607" w:rsidP="00474B0F">
      <w:pPr>
        <w:spacing w:line="360" w:lineRule="auto"/>
        <w:jc w:val="center"/>
        <w:rPr>
          <w:rFonts w:asciiTheme="majorEastAsia" w:eastAsiaTheme="majorEastAsia" w:hAnsiTheme="majorEastAsia" w:cs="Times New Roman"/>
          <w:sz w:val="36"/>
          <w:szCs w:val="36"/>
        </w:rPr>
      </w:pPr>
      <w:r w:rsidRPr="001F6607">
        <w:rPr>
          <w:rFonts w:asciiTheme="majorEastAsia" w:eastAsiaTheme="majorEastAsia" w:hAnsiTheme="majorEastAsia" w:cs="Times New Roman" w:hint="eastAsia"/>
          <w:b/>
          <w:bCs/>
          <w:sz w:val="36"/>
          <w:szCs w:val="36"/>
        </w:rPr>
        <w:t>市委大院市区两级视频会议终端设备设备</w:t>
      </w:r>
      <w:r w:rsidR="00474B0F" w:rsidRPr="001F6607">
        <w:rPr>
          <w:rFonts w:asciiTheme="majorEastAsia" w:eastAsiaTheme="majorEastAsia" w:hAnsiTheme="majorEastAsia" w:cs="Times New Roman" w:hint="eastAsia"/>
          <w:b/>
          <w:bCs/>
          <w:sz w:val="36"/>
          <w:szCs w:val="36"/>
        </w:rPr>
        <w:t>需求</w:t>
      </w:r>
    </w:p>
    <w:p w:rsidR="001F6607" w:rsidRPr="001F6607" w:rsidRDefault="001F6607" w:rsidP="008E10B1">
      <w:pPr>
        <w:adjustRightInd w:val="0"/>
        <w:snapToGrid w:val="0"/>
        <w:spacing w:line="360" w:lineRule="auto"/>
        <w:ind w:firstLineChars="200" w:firstLine="482"/>
        <w:rPr>
          <w:rFonts w:asciiTheme="minorEastAsia" w:hAnsiTheme="minorEastAsia" w:cs="Times New Roman"/>
          <w:b/>
          <w:sz w:val="24"/>
          <w:szCs w:val="24"/>
        </w:rPr>
      </w:pPr>
      <w:r w:rsidRPr="001F6607">
        <w:rPr>
          <w:rFonts w:asciiTheme="minorEastAsia" w:hAnsiTheme="minorEastAsia" w:cs="Times New Roman" w:hint="eastAsia"/>
          <w:b/>
          <w:sz w:val="24"/>
          <w:szCs w:val="24"/>
        </w:rPr>
        <w:t>一</w:t>
      </w:r>
      <w:r w:rsidRPr="001F6607">
        <w:rPr>
          <w:rFonts w:asciiTheme="minorEastAsia" w:hAnsiTheme="minorEastAsia" w:cs="Times New Roman"/>
          <w:b/>
          <w:sz w:val="24"/>
          <w:szCs w:val="24"/>
        </w:rPr>
        <w:t>、</w:t>
      </w:r>
      <w:r w:rsidRPr="001F6607">
        <w:rPr>
          <w:rFonts w:asciiTheme="minorEastAsia" w:hAnsiTheme="minorEastAsia" w:cs="Times New Roman" w:hint="eastAsia"/>
          <w:b/>
          <w:sz w:val="24"/>
          <w:szCs w:val="24"/>
        </w:rPr>
        <w:t>项目背景</w:t>
      </w:r>
    </w:p>
    <w:p w:rsidR="001F6607" w:rsidRPr="001F6607" w:rsidRDefault="001F6607" w:rsidP="008E10B1">
      <w:pPr>
        <w:adjustRightInd w:val="0"/>
        <w:snapToGrid w:val="0"/>
        <w:spacing w:line="360" w:lineRule="auto"/>
        <w:ind w:firstLineChars="200" w:firstLine="480"/>
        <w:rPr>
          <w:rFonts w:asciiTheme="minorEastAsia" w:hAnsiTheme="minorEastAsia" w:cs="Times New Roman"/>
          <w:b/>
          <w:sz w:val="24"/>
          <w:szCs w:val="24"/>
        </w:rPr>
      </w:pPr>
      <w:r w:rsidRPr="001F6607">
        <w:rPr>
          <w:rFonts w:asciiTheme="minorEastAsia" w:hAnsiTheme="minorEastAsia" w:cs="Times New Roman" w:hint="eastAsia"/>
          <w:sz w:val="24"/>
          <w:szCs w:val="24"/>
        </w:rPr>
        <w:t>根据市领导指示，机关事务管理局在市委大院</w:t>
      </w:r>
      <w:proofErr w:type="gramStart"/>
      <w:r w:rsidRPr="001F6607">
        <w:rPr>
          <w:rFonts w:asciiTheme="minorEastAsia" w:hAnsiTheme="minorEastAsia" w:cs="Times New Roman" w:hint="eastAsia"/>
          <w:sz w:val="24"/>
          <w:szCs w:val="24"/>
        </w:rPr>
        <w:t>辅助楼</w:t>
      </w:r>
      <w:proofErr w:type="gramEnd"/>
      <w:r w:rsidRPr="001F6607">
        <w:rPr>
          <w:rFonts w:asciiTheme="minorEastAsia" w:hAnsiTheme="minorEastAsia" w:cs="Times New Roman" w:hint="eastAsia"/>
          <w:sz w:val="24"/>
          <w:szCs w:val="24"/>
        </w:rPr>
        <w:t>三多功能厅建设电视电话会议室，同时要求我中心增设两台视频会议终端设备，采购方式竞价。</w:t>
      </w:r>
      <w:r w:rsidRPr="001F6607">
        <w:rPr>
          <w:rFonts w:asciiTheme="minorEastAsia" w:hAnsiTheme="minorEastAsia" w:cs="Times New Roman" w:hint="eastAsia"/>
          <w:b/>
          <w:sz w:val="24"/>
          <w:szCs w:val="24"/>
        </w:rPr>
        <w:t>设备名称：中兴ZXV10 T800分体化高清视频会议终端；数量：2台(原视频会议系统是中兴通讯)。</w:t>
      </w:r>
    </w:p>
    <w:p w:rsidR="001F6607" w:rsidRPr="001F6607" w:rsidRDefault="001F6607" w:rsidP="001F6607">
      <w:pPr>
        <w:adjustRightInd w:val="0"/>
        <w:snapToGrid w:val="0"/>
        <w:spacing w:line="360" w:lineRule="auto"/>
        <w:rPr>
          <w:rFonts w:asciiTheme="minorEastAsia" w:hAnsiTheme="minorEastAsia" w:cs="Times New Roman"/>
          <w:b/>
          <w:sz w:val="24"/>
          <w:szCs w:val="24"/>
        </w:rPr>
      </w:pPr>
      <w:r w:rsidRPr="001F6607">
        <w:rPr>
          <w:rFonts w:asciiTheme="minorEastAsia" w:hAnsiTheme="minorEastAsia" w:cs="Times New Roman" w:hint="eastAsia"/>
          <w:b/>
          <w:sz w:val="24"/>
          <w:szCs w:val="24"/>
        </w:rPr>
        <w:t>二、技术要求</w:t>
      </w:r>
    </w:p>
    <w:tbl>
      <w:tblPr>
        <w:tblpPr w:leftFromText="180" w:rightFromText="180" w:vertAnchor="text" w:horzAnchor="margin" w:tblpX="172" w:tblpY="401"/>
        <w:tblW w:w="8930" w:type="dxa"/>
        <w:tblCellSpacing w:w="0"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8930"/>
      </w:tblGrid>
      <w:tr w:rsidR="001F6607" w:rsidRPr="001F6607" w:rsidTr="0027799A">
        <w:trPr>
          <w:trHeight w:val="813"/>
          <w:tblCellSpacing w:w="0" w:type="dxa"/>
        </w:trPr>
        <w:tc>
          <w:tcPr>
            <w:tcW w:w="8930" w:type="dxa"/>
            <w:vAlign w:val="center"/>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right w:w="85" w:type="dxa"/>
              </w:tblCellMar>
              <w:tblLook w:val="0000" w:firstRow="0" w:lastRow="0" w:firstColumn="0" w:lastColumn="0" w:noHBand="0" w:noVBand="0"/>
            </w:tblPr>
            <w:tblGrid>
              <w:gridCol w:w="1226"/>
              <w:gridCol w:w="7622"/>
            </w:tblGrid>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基本要求</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★采用硬件分体式结构，嵌入式操作系统，非PC架构、非工控机架构</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支持ITU-T H.323和IETF SIP通信标准，能够和符合国际标准的产品互通</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支持7×24小时长时间连续运行</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接入能力</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支持128kbps至8Mbps速率，速率任意可调；</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▲支持IP语音终端呼入，支持接入一路视频终端和五路语音终端加入会议，实现多点会议的语音交流功能。</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频能力</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 xml:space="preserve">支持ITU H.261、H.263、H.263+、H.264、H.264 </w:t>
                  </w:r>
                  <w:proofErr w:type="spellStart"/>
                  <w:r w:rsidRPr="001F6607">
                    <w:rPr>
                      <w:rFonts w:asciiTheme="minorEastAsia" w:hAnsiTheme="minorEastAsia" w:cs="Times New Roman" w:hint="eastAsia"/>
                      <w:bCs/>
                      <w:sz w:val="24"/>
                      <w:szCs w:val="24"/>
                    </w:rPr>
                    <w:t>HighProfile</w:t>
                  </w:r>
                  <w:proofErr w:type="spellEnd"/>
                  <w:r w:rsidRPr="001F6607">
                    <w:rPr>
                      <w:rFonts w:asciiTheme="minorEastAsia" w:hAnsiTheme="minorEastAsia" w:cs="Times New Roman" w:hint="eastAsia"/>
                      <w:bCs/>
                      <w:sz w:val="24"/>
                      <w:szCs w:val="24"/>
                    </w:rPr>
                    <w:t>等视频编解码和H.264 SVC分层编码。提供国家权威部门检测报告以证明。</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支持1080p 50/60 fps、1080p 25/30 fps、720p50/60fps 、720p 25/30fps、4CIF 25/30fps、CIF 25/30fps等图像格式。</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▲在1Mbps带宽下实现1080P60fps视频通讯，图像质量良好；在512Kpbs带宽下实现1080P30fps或720P60fps视频通讯，图像质量良好；在384Kbps带宽下实现720P30fps视频通讯，图像质量良好；提供国家权威部门检测报告以证明。</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音频能力</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支持G.711、G.719、G.722、AAC-LD、G.722.1、G.722.1C、G.728、G.729等音频算法。提供国家权威部门检测报告以证明</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具备回声抵消、噪音抑制、自动增益等音频处理功能，支持全向式MIC，能够提供双声道立体声音效</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双流功能</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支持H.239和BFCP双流协议</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▲支持一路1080p 60fps和一路1080p 30fps活动视频效果。</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支持动态双流，不开双流时，不中断会议方式下可自动释放带宽。</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▲支持网络导入双流技术。视频会议终端发送双流时，无需用VGA、HDMI等线缆与PC或笔记本电脑连接，通过IP网络即可把PC或笔记本电脑的画面导入到视频会议终端，减少线缆铺设的开销。</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显示功能</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1.支持单屏多显显示方式：画中画和一左</w:t>
                  </w:r>
                  <w:proofErr w:type="gramStart"/>
                  <w:r w:rsidRPr="001F6607">
                    <w:rPr>
                      <w:rFonts w:asciiTheme="minorEastAsia" w:hAnsiTheme="minorEastAsia" w:cs="Times New Roman" w:hint="eastAsia"/>
                      <w:bCs/>
                      <w:sz w:val="24"/>
                      <w:szCs w:val="24"/>
                    </w:rPr>
                    <w:t>一</w:t>
                  </w:r>
                  <w:proofErr w:type="gramEnd"/>
                  <w:r w:rsidRPr="001F6607">
                    <w:rPr>
                      <w:rFonts w:asciiTheme="minorEastAsia" w:hAnsiTheme="minorEastAsia" w:cs="Times New Roman" w:hint="eastAsia"/>
                      <w:bCs/>
                      <w:sz w:val="24"/>
                      <w:szCs w:val="24"/>
                    </w:rPr>
                    <w:t>右（Side by side），满足本地图像、远端图像切换、辅视频三画面之间切换</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2.▲支持三</w:t>
                  </w:r>
                  <w:proofErr w:type="gramStart"/>
                  <w:r w:rsidRPr="001F6607">
                    <w:rPr>
                      <w:rFonts w:asciiTheme="minorEastAsia" w:hAnsiTheme="minorEastAsia" w:cs="Times New Roman" w:hint="eastAsia"/>
                      <w:bCs/>
                      <w:sz w:val="24"/>
                      <w:szCs w:val="24"/>
                    </w:rPr>
                    <w:t>屏三显</w:t>
                  </w:r>
                  <w:proofErr w:type="gramEnd"/>
                  <w:r w:rsidRPr="001F6607">
                    <w:rPr>
                      <w:rFonts w:asciiTheme="minorEastAsia" w:hAnsiTheme="minorEastAsia" w:cs="Times New Roman" w:hint="eastAsia"/>
                      <w:bCs/>
                      <w:sz w:val="24"/>
                      <w:szCs w:val="24"/>
                    </w:rPr>
                    <w:t>：在无外接视频矩阵的情况下，满足在三个显示屏幕上分别显示本地图像、远端图像和</w:t>
                  </w:r>
                  <w:proofErr w:type="gramStart"/>
                  <w:r w:rsidRPr="001F6607">
                    <w:rPr>
                      <w:rFonts w:asciiTheme="minorEastAsia" w:hAnsiTheme="minorEastAsia" w:cs="Times New Roman" w:hint="eastAsia"/>
                      <w:bCs/>
                      <w:sz w:val="24"/>
                      <w:szCs w:val="24"/>
                    </w:rPr>
                    <w:t>辅视频</w:t>
                  </w:r>
                  <w:proofErr w:type="gramEnd"/>
                  <w:r w:rsidRPr="001F6607">
                    <w:rPr>
                      <w:rFonts w:asciiTheme="minorEastAsia" w:hAnsiTheme="minorEastAsia" w:cs="Times New Roman" w:hint="eastAsia"/>
                      <w:bCs/>
                      <w:sz w:val="24"/>
                      <w:szCs w:val="24"/>
                    </w:rPr>
                    <w:t>。</w:t>
                  </w:r>
                </w:p>
              </w:tc>
            </w:tr>
            <w:tr w:rsidR="001F6607" w:rsidRPr="001F6607" w:rsidTr="0027799A">
              <w:trPr>
                <w:trHeight w:val="285"/>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控制功能</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遥控器、PC两种控制方式，便于用户在不同场景使用，终端支持PC控制台视音频监控功能，可实现广播源图像的监视和本地图像的监视、一键广播、会场截图，图像连贯流畅；支持本地、远程摄像机控制，可以对终端所配摄像机进行上、下、左、右、缩、放、</w:t>
                  </w:r>
                  <w:proofErr w:type="gramStart"/>
                  <w:r w:rsidRPr="001F6607">
                    <w:rPr>
                      <w:rFonts w:asciiTheme="minorEastAsia" w:hAnsiTheme="minorEastAsia" w:cs="Times New Roman" w:hint="eastAsia"/>
                      <w:bCs/>
                      <w:sz w:val="24"/>
                      <w:szCs w:val="24"/>
                    </w:rPr>
                    <w:t>预置位</w:t>
                  </w:r>
                  <w:proofErr w:type="gramEnd"/>
                  <w:r w:rsidRPr="001F6607">
                    <w:rPr>
                      <w:rFonts w:asciiTheme="minorEastAsia" w:hAnsiTheme="minorEastAsia" w:cs="Times New Roman" w:hint="eastAsia"/>
                      <w:bCs/>
                      <w:sz w:val="24"/>
                      <w:szCs w:val="24"/>
                    </w:rPr>
                    <w:t>等调节</w:t>
                  </w:r>
                </w:p>
              </w:tc>
            </w:tr>
            <w:tr w:rsidR="001F6607" w:rsidRPr="001F6607" w:rsidTr="0027799A">
              <w:trPr>
                <w:trHeight w:val="285"/>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横幅功能</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具备中文横幅功能，横幅的字体、颜色、背景色、是否滚动、位置均可自由设置</w:t>
                  </w:r>
                </w:p>
              </w:tc>
            </w:tr>
            <w:tr w:rsidR="001F6607" w:rsidRPr="001F6607" w:rsidTr="0027799A">
              <w:trPr>
                <w:trHeight w:val="285"/>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加密功能</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支持H.235、TLS/SRTP加密协议， AES加密标准</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业务功能要求</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具备多种检测机制，能够实现自环检测、音频输入输出检测、网络测试、IP地址冲突检测、网络断线检测等功能，支持掉线重呼，支持抗丢包策略</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▲支持在活动视频上实时动态显示麦克和音响状态。提供国家权威部门检测报告以证明。</w:t>
                  </w:r>
                </w:p>
              </w:tc>
            </w:tr>
            <w:tr w:rsidR="001F6607" w:rsidRPr="001F6607" w:rsidTr="0027799A">
              <w:trPr>
                <w:trHeight w:val="6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网络特性</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▲经过本地采集、编码、网络传输、解码、显示输出后整体时延不超过300ms。提供国家权威部门测试报告以证明。</w:t>
                  </w:r>
                </w:p>
              </w:tc>
            </w:tr>
            <w:tr w:rsidR="001F6607" w:rsidRPr="001F6607" w:rsidTr="0027799A">
              <w:trPr>
                <w:trHeight w:val="6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▲设备</w:t>
                  </w:r>
                  <w:proofErr w:type="gramStart"/>
                  <w:r w:rsidRPr="001F6607">
                    <w:rPr>
                      <w:rFonts w:asciiTheme="minorEastAsia" w:hAnsiTheme="minorEastAsia" w:cs="Times New Roman" w:hint="eastAsia"/>
                      <w:bCs/>
                      <w:sz w:val="24"/>
                      <w:szCs w:val="24"/>
                    </w:rPr>
                    <w:t>支持抗丢包修</w:t>
                  </w:r>
                  <w:proofErr w:type="gramEnd"/>
                  <w:r w:rsidRPr="001F6607">
                    <w:rPr>
                      <w:rFonts w:asciiTheme="minorEastAsia" w:hAnsiTheme="minorEastAsia" w:cs="Times New Roman" w:hint="eastAsia"/>
                      <w:bCs/>
                      <w:sz w:val="24"/>
                      <w:szCs w:val="24"/>
                    </w:rPr>
                    <w:t>复能力，丢包达到30%时，会议仍能够正常召开。提供国家权威部门测试报告以证明。</w:t>
                  </w:r>
                </w:p>
              </w:tc>
            </w:tr>
            <w:tr w:rsidR="001F6607" w:rsidRPr="001F6607" w:rsidTr="0027799A">
              <w:trPr>
                <w:trHeight w:val="103"/>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支持智能丢包重发、QoS机制，具备音频优先策略</w:t>
                  </w:r>
                </w:p>
              </w:tc>
            </w:tr>
            <w:tr w:rsidR="001F6607" w:rsidRPr="001F6607" w:rsidTr="0027799A">
              <w:trPr>
                <w:trHeight w:val="285"/>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视频接口</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▲支持不少于4路高清视频输入接口，输入接口支持DVI、HDMI、3G-SDI等接口。</w:t>
                  </w:r>
                </w:p>
              </w:tc>
            </w:tr>
            <w:tr w:rsidR="001F6607" w:rsidRPr="001F6607" w:rsidTr="0027799A">
              <w:trPr>
                <w:trHeight w:val="285"/>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▲支持不少于4路高清视频输出接口，输出接口支持DVI、3G-SDI、</w:t>
                  </w:r>
                  <w:proofErr w:type="spellStart"/>
                  <w:r w:rsidRPr="001F6607">
                    <w:rPr>
                      <w:rFonts w:asciiTheme="minorEastAsia" w:hAnsiTheme="minorEastAsia" w:cs="Times New Roman" w:hint="eastAsia"/>
                      <w:bCs/>
                      <w:sz w:val="24"/>
                      <w:szCs w:val="24"/>
                    </w:rPr>
                    <w:t>YPbPr</w:t>
                  </w:r>
                  <w:proofErr w:type="spellEnd"/>
                  <w:r w:rsidRPr="001F6607">
                    <w:rPr>
                      <w:rFonts w:asciiTheme="minorEastAsia" w:hAnsiTheme="minorEastAsia" w:cs="Times New Roman" w:hint="eastAsia"/>
                      <w:bCs/>
                      <w:sz w:val="24"/>
                      <w:szCs w:val="24"/>
                    </w:rPr>
                    <w:t>、</w:t>
                  </w:r>
                  <w:r w:rsidRPr="001F6607">
                    <w:rPr>
                      <w:rFonts w:asciiTheme="minorEastAsia" w:hAnsiTheme="minorEastAsia" w:cs="Times New Roman" w:hint="eastAsia"/>
                      <w:bCs/>
                      <w:sz w:val="24"/>
                      <w:szCs w:val="24"/>
                    </w:rPr>
                    <w:lastRenderedPageBreak/>
                    <w:t>HDMI、VGA等接口。</w:t>
                  </w:r>
                </w:p>
              </w:tc>
            </w:tr>
            <w:tr w:rsidR="001F6607" w:rsidRPr="001F6607" w:rsidTr="0027799A">
              <w:trPr>
                <w:trHeight w:val="285"/>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lastRenderedPageBreak/>
                    <w:t>音频接口</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▲支持不少于9路音频输入，支持不少于6路音频输出，支持左右双声道立体声输出。支持RCA和XLR接口。</w:t>
                  </w:r>
                </w:p>
              </w:tc>
            </w:tr>
            <w:tr w:rsidR="001F6607" w:rsidRPr="001F6607" w:rsidTr="0027799A">
              <w:trPr>
                <w:trHeight w:val="285"/>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网络接口</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▲≥2个10/100 Base-T以太网口</w:t>
                  </w:r>
                </w:p>
              </w:tc>
            </w:tr>
            <w:tr w:rsidR="001F6607" w:rsidRPr="001F6607" w:rsidTr="0027799A">
              <w:trPr>
                <w:trHeight w:val="280"/>
                <w:jc w:val="center"/>
              </w:trPr>
              <w:tc>
                <w:tcPr>
                  <w:tcW w:w="1226" w:type="dxa"/>
                  <w:vMerge w:val="restart"/>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其他接口</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支持RS232控制接口</w:t>
                  </w:r>
                </w:p>
              </w:tc>
            </w:tr>
            <w:tr w:rsidR="001F6607" w:rsidRPr="001F6607" w:rsidTr="0027799A">
              <w:trPr>
                <w:trHeight w:val="280"/>
                <w:jc w:val="center"/>
              </w:trPr>
              <w:tc>
                <w:tcPr>
                  <w:tcW w:w="1226" w:type="dxa"/>
                  <w:vMerge/>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支持PSTN电话接口</w:t>
                  </w:r>
                  <w:bookmarkStart w:id="1" w:name="_GoBack"/>
                  <w:bookmarkEnd w:id="1"/>
                </w:p>
              </w:tc>
            </w:tr>
            <w:tr w:rsidR="001F6607" w:rsidRPr="001F6607" w:rsidTr="0027799A">
              <w:trPr>
                <w:trHeight w:val="836"/>
                <w:jc w:val="center"/>
              </w:trPr>
              <w:tc>
                <w:tcPr>
                  <w:tcW w:w="1226"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证书要求</w:t>
                  </w:r>
                </w:p>
              </w:tc>
              <w:tc>
                <w:tcPr>
                  <w:tcW w:w="7622" w:type="dxa"/>
                  <w:vAlign w:val="center"/>
                </w:tcPr>
                <w:p w:rsidR="001F6607" w:rsidRPr="001F6607" w:rsidRDefault="001F6607" w:rsidP="001F6607">
                  <w:pPr>
                    <w:framePr w:hSpace="180" w:wrap="around" w:vAnchor="text" w:hAnchor="margin" w:x="172" w:y="401"/>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提供产品电信设备入网证</w:t>
                  </w:r>
                </w:p>
              </w:tc>
            </w:tr>
          </w:tbl>
          <w:p w:rsidR="001F6607" w:rsidRPr="001F6607" w:rsidRDefault="001F6607" w:rsidP="001F6607">
            <w:pPr>
              <w:adjustRightInd w:val="0"/>
              <w:snapToGrid w:val="0"/>
              <w:spacing w:line="360" w:lineRule="auto"/>
              <w:rPr>
                <w:rFonts w:asciiTheme="minorEastAsia" w:hAnsiTheme="minorEastAsia" w:cs="Times New Roman"/>
                <w:b/>
                <w:bCs/>
                <w:sz w:val="24"/>
                <w:szCs w:val="24"/>
              </w:rPr>
            </w:pPr>
            <w:proofErr w:type="gramStart"/>
            <w:r w:rsidRPr="001F6607">
              <w:rPr>
                <w:rFonts w:asciiTheme="minorEastAsia" w:hAnsiTheme="minorEastAsia" w:cs="Times New Roman" w:hint="eastAsia"/>
                <w:b/>
                <w:bCs/>
                <w:sz w:val="24"/>
                <w:szCs w:val="24"/>
              </w:rPr>
              <w:t>本部分对所需</w:t>
            </w:r>
            <w:proofErr w:type="gramEnd"/>
            <w:r w:rsidRPr="001F6607">
              <w:rPr>
                <w:rFonts w:asciiTheme="minorEastAsia" w:hAnsiTheme="minorEastAsia" w:cs="Times New Roman" w:hint="eastAsia"/>
                <w:b/>
                <w:bCs/>
                <w:sz w:val="24"/>
                <w:szCs w:val="24"/>
              </w:rPr>
              <w:t>的设备逐一进行描述，投标人必须响应并承诺下列要求。</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1)投标人应提供所代表品牌厂商原装、全新的、符合国家及用户提出的有关质量标准的设备。</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2)投标人须如实填写《技术规格偏离表》，并按招标文件的要求提供相关证明资料，包括检测报告、功能截图证明、产品相关证书、产品原厂说明书、产品彩页等。提供的证明资料与投标响应情况不相符的，视为《技术规格偏离表》填写不实。</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3)投标人所提供的设备必须有原厂商对本项目出具的售后服务承诺函。</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4)本标书设备功能要求中凡使用“支持”的描述均要求能够实现</w:t>
            </w:r>
          </w:p>
        </w:tc>
      </w:tr>
    </w:tbl>
    <w:p w:rsidR="001F6607" w:rsidRPr="001F6607" w:rsidRDefault="001F6607" w:rsidP="001F6607">
      <w:pPr>
        <w:adjustRightInd w:val="0"/>
        <w:snapToGrid w:val="0"/>
        <w:spacing w:line="360" w:lineRule="auto"/>
        <w:rPr>
          <w:rFonts w:asciiTheme="minorEastAsia" w:hAnsiTheme="minorEastAsia" w:cs="Times New Roman"/>
          <w:b/>
          <w:sz w:val="24"/>
          <w:szCs w:val="24"/>
        </w:rPr>
      </w:pPr>
      <w:r w:rsidRPr="001F6607">
        <w:rPr>
          <w:rFonts w:asciiTheme="minorEastAsia" w:hAnsiTheme="minorEastAsia" w:cs="Times New Roman" w:hint="eastAsia"/>
          <w:b/>
          <w:sz w:val="24"/>
          <w:szCs w:val="24"/>
        </w:rPr>
        <w:lastRenderedPageBreak/>
        <w:t>三、商务需求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6642"/>
      </w:tblGrid>
      <w:tr w:rsidR="001F6607" w:rsidRPr="001F6607" w:rsidTr="0027799A">
        <w:trPr>
          <w:trHeight w:val="452"/>
        </w:trPr>
        <w:tc>
          <w:tcPr>
            <w:tcW w:w="8910" w:type="dxa"/>
            <w:gridSpan w:val="3"/>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（一）免费保修期内售后服务要求</w:t>
            </w:r>
          </w:p>
        </w:tc>
      </w:tr>
      <w:tr w:rsidR="001F6607" w:rsidRPr="001F6607" w:rsidTr="0027799A">
        <w:trPr>
          <w:trHeight w:val="1698"/>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1</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免费保修期要求</w:t>
            </w:r>
          </w:p>
        </w:tc>
        <w:tc>
          <w:tcPr>
            <w:tcW w:w="6642" w:type="dxa"/>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1.1本项目要求提供三年免费保修服务，本项目供应的设备提供三年原厂免费保修服务(提供原厂商针对本项目出具的售后服务承诺函)，时间</w:t>
            </w:r>
            <w:proofErr w:type="gramStart"/>
            <w:r w:rsidRPr="001F6607">
              <w:rPr>
                <w:rFonts w:asciiTheme="minorEastAsia" w:hAnsiTheme="minorEastAsia" w:cs="Times New Roman" w:hint="eastAsia"/>
                <w:bCs/>
                <w:sz w:val="24"/>
                <w:szCs w:val="24"/>
              </w:rPr>
              <w:t>自项目</w:t>
            </w:r>
            <w:proofErr w:type="gramEnd"/>
            <w:r w:rsidRPr="001F6607">
              <w:rPr>
                <w:rFonts w:asciiTheme="minorEastAsia" w:hAnsiTheme="minorEastAsia" w:cs="Times New Roman" w:hint="eastAsia"/>
                <w:bCs/>
                <w:sz w:val="24"/>
                <w:szCs w:val="24"/>
              </w:rPr>
              <w:t>最终验收合格并交付使用之日起计算。</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1.2 投标人须在投标文件中提供原厂商出具的售后服务承诺函的原件扫描件，原件备查。</w:t>
            </w:r>
          </w:p>
        </w:tc>
      </w:tr>
      <w:tr w:rsidR="001F6607" w:rsidRPr="001F6607" w:rsidTr="0027799A">
        <w:trPr>
          <w:trHeight w:val="320"/>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2</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维修响应及故障解决时间要求</w:t>
            </w:r>
          </w:p>
        </w:tc>
        <w:tc>
          <w:tcPr>
            <w:tcW w:w="6642" w:type="dxa"/>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在质保期内，对于用户的服务请求，要在接报后</w:t>
            </w:r>
            <w:r w:rsidRPr="001F6607">
              <w:rPr>
                <w:rFonts w:asciiTheme="minorEastAsia" w:hAnsiTheme="minorEastAsia" w:cs="Times New Roman"/>
                <w:bCs/>
                <w:sz w:val="24"/>
                <w:szCs w:val="24"/>
              </w:rPr>
              <w:t>2</w:t>
            </w:r>
            <w:r w:rsidRPr="001F6607">
              <w:rPr>
                <w:rFonts w:asciiTheme="minorEastAsia" w:hAnsiTheme="minorEastAsia" w:cs="Times New Roman" w:hint="eastAsia"/>
                <w:bCs/>
                <w:sz w:val="24"/>
                <w:szCs w:val="24"/>
              </w:rPr>
              <w:t>小时内到达故障现场；如果设备出现故障，在检修2小时后仍无法排除，保证在6小时内须免费提供故障设备同档次备用设备供用户替代使用，直至故障设备修复为止，保证业务系统不间断地正常运行。7*24小时故障响应。</w:t>
            </w:r>
          </w:p>
        </w:tc>
      </w:tr>
      <w:tr w:rsidR="001F6607" w:rsidRPr="001F6607" w:rsidTr="0027799A">
        <w:trPr>
          <w:trHeight w:val="896"/>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lastRenderedPageBreak/>
              <w:t>3</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巡检服务要求</w:t>
            </w:r>
          </w:p>
        </w:tc>
        <w:tc>
          <w:tcPr>
            <w:tcW w:w="6642"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在质保期内，对用户单位进行定期巡检维护，每三个月一次，每次做好记录，双方签名验收，由此产生的所有费用由中标人负责。</w:t>
            </w:r>
          </w:p>
        </w:tc>
      </w:tr>
      <w:tr w:rsidR="001F6607" w:rsidRPr="001F6607" w:rsidTr="0027799A">
        <w:trPr>
          <w:trHeight w:val="350"/>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bCs/>
                <w:sz w:val="24"/>
                <w:szCs w:val="24"/>
              </w:rPr>
              <w:t>4</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工期要求</w:t>
            </w:r>
          </w:p>
        </w:tc>
        <w:tc>
          <w:tcPr>
            <w:tcW w:w="6642" w:type="dxa"/>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a.签订合同后</w:t>
            </w:r>
            <w:r w:rsidRPr="001F6607">
              <w:rPr>
                <w:rFonts w:asciiTheme="minorEastAsia" w:hAnsiTheme="minorEastAsia" w:cs="Times New Roman"/>
                <w:bCs/>
                <w:sz w:val="24"/>
                <w:szCs w:val="24"/>
              </w:rPr>
              <w:t>30</w:t>
            </w:r>
            <w:r w:rsidRPr="001F6607">
              <w:rPr>
                <w:rFonts w:asciiTheme="minorEastAsia" w:hAnsiTheme="minorEastAsia" w:cs="Times New Roman" w:hint="eastAsia"/>
                <w:bCs/>
                <w:sz w:val="24"/>
                <w:szCs w:val="24"/>
              </w:rPr>
              <w:t>日（日历日）内完成供货，设备运输到采购方指定的地点。</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b.货物验收后</w:t>
            </w:r>
            <w:r w:rsidRPr="001F6607">
              <w:rPr>
                <w:rFonts w:asciiTheme="minorEastAsia" w:hAnsiTheme="minorEastAsia" w:cs="Times New Roman"/>
                <w:bCs/>
                <w:sz w:val="24"/>
                <w:szCs w:val="24"/>
              </w:rPr>
              <w:t>10</w:t>
            </w:r>
            <w:r w:rsidRPr="001F6607">
              <w:rPr>
                <w:rFonts w:asciiTheme="minorEastAsia" w:hAnsiTheme="minorEastAsia" w:cs="Times New Roman" w:hint="eastAsia"/>
                <w:bCs/>
                <w:sz w:val="24"/>
                <w:szCs w:val="24"/>
              </w:rPr>
              <w:t>日（日历日）内完成设备安装调试。</w:t>
            </w:r>
          </w:p>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C.设备上架后1</w:t>
            </w:r>
            <w:r w:rsidRPr="001F6607">
              <w:rPr>
                <w:rFonts w:asciiTheme="minorEastAsia" w:hAnsiTheme="minorEastAsia" w:cs="Times New Roman"/>
                <w:bCs/>
                <w:sz w:val="24"/>
                <w:szCs w:val="24"/>
              </w:rPr>
              <w:t>0</w:t>
            </w:r>
            <w:r w:rsidRPr="001F6607">
              <w:rPr>
                <w:rFonts w:asciiTheme="minorEastAsia" w:hAnsiTheme="minorEastAsia" w:cs="Times New Roman" w:hint="eastAsia"/>
                <w:bCs/>
                <w:sz w:val="24"/>
                <w:szCs w:val="24"/>
              </w:rPr>
              <w:t>日（日历日）完成资料整理、验收检测并提供设备操作说明书、图纸等相关工作。</w:t>
            </w:r>
          </w:p>
        </w:tc>
      </w:tr>
      <w:tr w:rsidR="001F6607" w:rsidRPr="001F6607" w:rsidTr="0027799A">
        <w:trPr>
          <w:trHeight w:val="350"/>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bCs/>
                <w:sz w:val="24"/>
                <w:szCs w:val="24"/>
              </w:rPr>
              <w:t>5</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本地服务要求</w:t>
            </w:r>
          </w:p>
        </w:tc>
        <w:tc>
          <w:tcPr>
            <w:tcW w:w="6642" w:type="dxa"/>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投标商是深圳市本地注册机构或者在深圳市内有分公司。</w:t>
            </w:r>
          </w:p>
        </w:tc>
      </w:tr>
      <w:tr w:rsidR="001F6607" w:rsidRPr="001F6607" w:rsidTr="0027799A">
        <w:trPr>
          <w:trHeight w:val="439"/>
        </w:trPr>
        <w:tc>
          <w:tcPr>
            <w:tcW w:w="567"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bCs/>
                <w:sz w:val="24"/>
                <w:szCs w:val="24"/>
              </w:rPr>
              <w:t>6</w:t>
            </w:r>
          </w:p>
        </w:tc>
        <w:tc>
          <w:tcPr>
            <w:tcW w:w="1701" w:type="dxa"/>
            <w:vAlign w:val="center"/>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产品要求</w:t>
            </w:r>
          </w:p>
        </w:tc>
        <w:tc>
          <w:tcPr>
            <w:tcW w:w="6642" w:type="dxa"/>
          </w:tcPr>
          <w:p w:rsidR="001F6607" w:rsidRPr="001F6607" w:rsidRDefault="001F6607" w:rsidP="001F6607">
            <w:pPr>
              <w:adjustRightInd w:val="0"/>
              <w:snapToGrid w:val="0"/>
              <w:spacing w:line="360" w:lineRule="auto"/>
              <w:rPr>
                <w:rFonts w:asciiTheme="minorEastAsia" w:hAnsiTheme="minorEastAsia" w:cs="Times New Roman"/>
                <w:bCs/>
                <w:sz w:val="24"/>
                <w:szCs w:val="24"/>
              </w:rPr>
            </w:pPr>
            <w:r w:rsidRPr="001F6607">
              <w:rPr>
                <w:rFonts w:asciiTheme="minorEastAsia" w:hAnsiTheme="minorEastAsia" w:cs="Times New Roman" w:hint="eastAsia"/>
                <w:bCs/>
                <w:sz w:val="24"/>
                <w:szCs w:val="24"/>
              </w:rPr>
              <w:t>投标人应提供所代表品牌厂商原装、全新的、符合国家及用户提出的有关质量标准的设备。</w:t>
            </w:r>
          </w:p>
        </w:tc>
      </w:tr>
    </w:tbl>
    <w:p w:rsidR="001F6607" w:rsidRPr="001F6607" w:rsidRDefault="001F6607" w:rsidP="001F6607">
      <w:pPr>
        <w:adjustRightInd w:val="0"/>
        <w:snapToGrid w:val="0"/>
        <w:spacing w:line="360" w:lineRule="auto"/>
        <w:rPr>
          <w:rFonts w:asciiTheme="minorEastAsia" w:hAnsiTheme="minorEastAsia" w:cs="Times New Roman"/>
          <w:b/>
          <w:sz w:val="24"/>
          <w:szCs w:val="24"/>
        </w:rPr>
      </w:pPr>
      <w:r w:rsidRPr="001F6607">
        <w:rPr>
          <w:rFonts w:asciiTheme="minorEastAsia" w:hAnsiTheme="minorEastAsia" w:cs="Times New Roman" w:hint="eastAsia"/>
          <w:b/>
          <w:sz w:val="24"/>
          <w:szCs w:val="24"/>
        </w:rPr>
        <w:t>四、售后服务要求</w:t>
      </w:r>
    </w:p>
    <w:p w:rsidR="001F6607" w:rsidRPr="001F6607" w:rsidRDefault="001F6607" w:rsidP="008E10B1">
      <w:pPr>
        <w:adjustRightInd w:val="0"/>
        <w:snapToGrid w:val="0"/>
        <w:spacing w:line="360" w:lineRule="auto"/>
        <w:ind w:firstLineChars="200" w:firstLine="480"/>
        <w:rPr>
          <w:rFonts w:asciiTheme="minorEastAsia" w:hAnsiTheme="minorEastAsia" w:cs="Times New Roman"/>
          <w:sz w:val="24"/>
          <w:szCs w:val="24"/>
        </w:rPr>
      </w:pPr>
      <w:r w:rsidRPr="001F6607">
        <w:rPr>
          <w:rFonts w:asciiTheme="minorEastAsia" w:hAnsiTheme="minorEastAsia" w:cs="Times New Roman" w:hint="eastAsia"/>
          <w:sz w:val="24"/>
          <w:szCs w:val="24"/>
        </w:rPr>
        <w:t>1.免费保修期内售后服务要求部分，请详细列明免费保修期内的售后服务要求，内容包括但不限于免费保修期限、售后服务人员配备、技术培训方案、质量保证、违约承诺、维修响应及故障解决时间、方案等。</w:t>
      </w:r>
    </w:p>
    <w:p w:rsidR="001F6607" w:rsidRPr="001F6607" w:rsidRDefault="001F6607" w:rsidP="008E10B1">
      <w:pPr>
        <w:adjustRightInd w:val="0"/>
        <w:snapToGrid w:val="0"/>
        <w:spacing w:line="360" w:lineRule="auto"/>
        <w:ind w:firstLineChars="200" w:firstLine="480"/>
        <w:rPr>
          <w:rFonts w:asciiTheme="minorEastAsia" w:hAnsiTheme="minorEastAsia" w:cs="Times New Roman"/>
          <w:sz w:val="24"/>
          <w:szCs w:val="24"/>
        </w:rPr>
      </w:pPr>
      <w:r w:rsidRPr="001F6607">
        <w:rPr>
          <w:rFonts w:asciiTheme="minorEastAsia" w:hAnsiTheme="minorEastAsia" w:cs="Times New Roman" w:hint="eastAsia"/>
          <w:sz w:val="24"/>
          <w:szCs w:val="24"/>
        </w:rPr>
        <w:t>2</w:t>
      </w:r>
      <w:r w:rsidRPr="001F6607">
        <w:rPr>
          <w:rFonts w:asciiTheme="minorEastAsia" w:hAnsiTheme="minorEastAsia" w:cs="Times New Roman"/>
          <w:sz w:val="24"/>
          <w:szCs w:val="24"/>
        </w:rPr>
        <w:t>.</w:t>
      </w:r>
      <w:r w:rsidRPr="001F6607">
        <w:rPr>
          <w:rFonts w:asciiTheme="minorEastAsia" w:hAnsiTheme="minorEastAsia" w:cs="Times New Roman" w:hint="eastAsia"/>
          <w:sz w:val="24"/>
          <w:szCs w:val="24"/>
        </w:rPr>
        <w:t>免费保修期外售后服务要求部分，请详细列明免费保修期外的售后服务要求，内容包括但不限于零配件的优惠率、维修响应及故障解决时间、方案、提供的服务等。</w:t>
      </w:r>
    </w:p>
    <w:p w:rsidR="001F6607" w:rsidRPr="001F6607" w:rsidRDefault="001F6607" w:rsidP="008E10B1">
      <w:pPr>
        <w:adjustRightInd w:val="0"/>
        <w:snapToGrid w:val="0"/>
        <w:spacing w:line="360" w:lineRule="auto"/>
        <w:ind w:firstLineChars="200" w:firstLine="480"/>
        <w:rPr>
          <w:rFonts w:asciiTheme="minorEastAsia" w:hAnsiTheme="minorEastAsia" w:cs="Times New Roman"/>
          <w:sz w:val="24"/>
          <w:szCs w:val="24"/>
        </w:rPr>
      </w:pPr>
      <w:r w:rsidRPr="001F6607">
        <w:rPr>
          <w:rFonts w:asciiTheme="minorEastAsia" w:hAnsiTheme="minorEastAsia" w:cs="Times New Roman" w:hint="eastAsia"/>
          <w:sz w:val="24"/>
          <w:szCs w:val="24"/>
        </w:rPr>
        <w:t>3.其他商务要求部分，如有补充，请详细列明。</w:t>
      </w:r>
    </w:p>
    <w:p w:rsidR="00474B0F" w:rsidRPr="001F6607" w:rsidRDefault="00474B0F" w:rsidP="00474B0F">
      <w:pPr>
        <w:adjustRightInd w:val="0"/>
        <w:snapToGrid w:val="0"/>
        <w:spacing w:line="360" w:lineRule="auto"/>
        <w:rPr>
          <w:rFonts w:ascii="新宋体" w:eastAsia="新宋体" w:hAnsi="新宋体" w:cs="Times New Roman"/>
          <w:szCs w:val="21"/>
        </w:rPr>
      </w:pPr>
    </w:p>
    <w:p w:rsidR="00E34D08" w:rsidRPr="00474B0F" w:rsidRDefault="00E34D08" w:rsidP="00474B0F"/>
    <w:sectPr w:rsidR="00E34D08" w:rsidRPr="00474B0F" w:rsidSect="00E34658">
      <w:footerReference w:type="default" r:id="rId7"/>
      <w:pgSz w:w="11907" w:h="16840"/>
      <w:pgMar w:top="1474" w:right="1418" w:bottom="1247" w:left="1418" w:header="737" w:footer="567" w:gutter="17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D2A" w:rsidRDefault="00391D2A" w:rsidP="00391D2A">
      <w:r>
        <w:separator/>
      </w:r>
    </w:p>
  </w:endnote>
  <w:endnote w:type="continuationSeparator" w:id="0">
    <w:p w:rsidR="00391D2A" w:rsidRDefault="00391D2A" w:rsidP="0039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956" w:rsidRPr="00060ACA" w:rsidRDefault="007104F5" w:rsidP="00D92BA3">
    <w:pPr>
      <w:pBdr>
        <w:bottom w:val="single" w:sz="6" w:space="0" w:color="auto"/>
      </w:pBdr>
      <w:tabs>
        <w:tab w:val="center" w:pos="4153"/>
        <w:tab w:val="right" w:pos="8306"/>
      </w:tabs>
      <w:snapToGrid w:val="0"/>
      <w:spacing w:line="276" w:lineRule="auto"/>
      <w:rPr>
        <w:kern w:val="0"/>
        <w:sz w:val="18"/>
        <w:szCs w:val="18"/>
      </w:rPr>
    </w:pPr>
  </w:p>
  <w:p w:rsidR="000B0956" w:rsidRPr="00060ACA" w:rsidRDefault="00E34658" w:rsidP="00D92BA3">
    <w:pPr>
      <w:tabs>
        <w:tab w:val="left" w:pos="2712"/>
      </w:tabs>
      <w:snapToGrid w:val="0"/>
      <w:spacing w:line="360" w:lineRule="auto"/>
      <w:jc w:val="left"/>
      <w:rPr>
        <w:lang w:val="x-none"/>
      </w:rPr>
    </w:pPr>
    <w:proofErr w:type="spellStart"/>
    <w:r w:rsidRPr="00060ACA">
      <w:rPr>
        <w:rFonts w:ascii="新宋体" w:eastAsia="新宋体" w:hAnsi="新宋体" w:hint="eastAsia"/>
        <w:kern w:val="0"/>
        <w:sz w:val="18"/>
        <w:szCs w:val="18"/>
        <w:lang w:val="x-none" w:eastAsia="x-none"/>
      </w:rPr>
      <w:t>深圳市</w:t>
    </w:r>
    <w:proofErr w:type="gramStart"/>
    <w:r w:rsidRPr="00060ACA">
      <w:rPr>
        <w:rFonts w:ascii="新宋体" w:eastAsia="新宋体" w:hAnsi="新宋体" w:hint="eastAsia"/>
        <w:kern w:val="0"/>
        <w:sz w:val="18"/>
        <w:szCs w:val="18"/>
        <w:lang w:val="x-none" w:eastAsia="x-none"/>
      </w:rPr>
      <w:t>瑞凝信招标</w:t>
    </w:r>
    <w:proofErr w:type="gramEnd"/>
    <w:r w:rsidRPr="00060ACA">
      <w:rPr>
        <w:rFonts w:ascii="新宋体" w:eastAsia="新宋体" w:hAnsi="新宋体" w:hint="eastAsia"/>
        <w:kern w:val="0"/>
        <w:sz w:val="18"/>
        <w:szCs w:val="18"/>
        <w:lang w:val="x-none" w:eastAsia="x-none"/>
      </w:rPr>
      <w:t>咨询有限公司</w:t>
    </w:r>
    <w:proofErr w:type="spellEnd"/>
    <w:r w:rsidRPr="00060ACA">
      <w:rPr>
        <w:rFonts w:ascii="新宋体" w:eastAsia="新宋体" w:hAnsi="新宋体"/>
        <w:kern w:val="0"/>
        <w:sz w:val="18"/>
        <w:szCs w:val="18"/>
        <w:lang w:val="x-none" w:eastAsia="x-none"/>
      </w:rPr>
      <w:t xml:space="preserve">                       </w:t>
    </w:r>
    <w:r w:rsidRPr="00060ACA">
      <w:rPr>
        <w:rFonts w:ascii="新宋体" w:eastAsia="新宋体" w:hAnsi="新宋体"/>
        <w:bCs/>
        <w:kern w:val="0"/>
        <w:sz w:val="18"/>
        <w:szCs w:val="18"/>
        <w:lang w:val="x-none" w:eastAsia="x-none"/>
      </w:rPr>
      <w:fldChar w:fldCharType="begin"/>
    </w:r>
    <w:r w:rsidRPr="00060ACA">
      <w:rPr>
        <w:rFonts w:ascii="新宋体" w:eastAsia="新宋体" w:hAnsi="新宋体"/>
        <w:bCs/>
        <w:kern w:val="0"/>
        <w:sz w:val="18"/>
        <w:szCs w:val="18"/>
        <w:lang w:val="x-none" w:eastAsia="x-none"/>
      </w:rPr>
      <w:instrText>PAGE</w:instrText>
    </w:r>
    <w:r w:rsidRPr="00060ACA">
      <w:rPr>
        <w:rFonts w:ascii="新宋体" w:eastAsia="新宋体" w:hAnsi="新宋体"/>
        <w:bCs/>
        <w:kern w:val="0"/>
        <w:sz w:val="18"/>
        <w:szCs w:val="18"/>
        <w:lang w:val="x-none" w:eastAsia="x-none"/>
      </w:rPr>
      <w:fldChar w:fldCharType="separate"/>
    </w:r>
    <w:r w:rsidR="007323E0">
      <w:rPr>
        <w:rFonts w:ascii="新宋体" w:eastAsia="新宋体" w:hAnsi="新宋体"/>
        <w:bCs/>
        <w:noProof/>
        <w:kern w:val="0"/>
        <w:sz w:val="18"/>
        <w:szCs w:val="18"/>
        <w:lang w:val="x-none" w:eastAsia="x-none"/>
      </w:rPr>
      <w:t>2</w:t>
    </w:r>
    <w:r w:rsidRPr="00060ACA">
      <w:rPr>
        <w:rFonts w:ascii="新宋体" w:eastAsia="新宋体" w:hAnsi="新宋体"/>
        <w:bCs/>
        <w:kern w:val="0"/>
        <w:sz w:val="18"/>
        <w:szCs w:val="18"/>
        <w:lang w:val="x-none" w:eastAsia="x-none"/>
      </w:rPr>
      <w:fldChar w:fldCharType="end"/>
    </w:r>
    <w:r w:rsidRPr="00060ACA">
      <w:rPr>
        <w:rFonts w:ascii="新宋体" w:eastAsia="新宋体" w:hAnsi="新宋体"/>
        <w:kern w:val="0"/>
        <w:sz w:val="18"/>
        <w:szCs w:val="18"/>
        <w:lang w:val="zh-CN" w:eastAsia="x-none"/>
      </w:rPr>
      <w:t xml:space="preserve"> / </w:t>
    </w:r>
    <w:r w:rsidRPr="00060ACA">
      <w:rPr>
        <w:rFonts w:ascii="新宋体" w:eastAsia="新宋体" w:hAnsi="新宋体"/>
        <w:bCs/>
        <w:kern w:val="0"/>
        <w:sz w:val="18"/>
        <w:szCs w:val="18"/>
        <w:lang w:val="x-none" w:eastAsia="x-none"/>
      </w:rPr>
      <w:fldChar w:fldCharType="begin"/>
    </w:r>
    <w:r w:rsidRPr="00060ACA">
      <w:rPr>
        <w:rFonts w:ascii="新宋体" w:eastAsia="新宋体" w:hAnsi="新宋体"/>
        <w:bCs/>
        <w:kern w:val="0"/>
        <w:sz w:val="18"/>
        <w:szCs w:val="18"/>
        <w:lang w:val="x-none" w:eastAsia="x-none"/>
      </w:rPr>
      <w:instrText>NUMPAGES</w:instrText>
    </w:r>
    <w:r w:rsidRPr="00060ACA">
      <w:rPr>
        <w:rFonts w:ascii="新宋体" w:eastAsia="新宋体" w:hAnsi="新宋体"/>
        <w:bCs/>
        <w:kern w:val="0"/>
        <w:sz w:val="18"/>
        <w:szCs w:val="18"/>
        <w:lang w:val="x-none" w:eastAsia="x-none"/>
      </w:rPr>
      <w:fldChar w:fldCharType="separate"/>
    </w:r>
    <w:r w:rsidR="007323E0">
      <w:rPr>
        <w:rFonts w:ascii="新宋体" w:eastAsia="新宋体" w:hAnsi="新宋体"/>
        <w:bCs/>
        <w:noProof/>
        <w:kern w:val="0"/>
        <w:sz w:val="18"/>
        <w:szCs w:val="18"/>
        <w:lang w:val="x-none" w:eastAsia="x-none"/>
      </w:rPr>
      <w:t>7</w:t>
    </w:r>
    <w:r w:rsidRPr="00060ACA">
      <w:rPr>
        <w:rFonts w:ascii="新宋体" w:eastAsia="新宋体" w:hAnsi="新宋体"/>
        <w:bCs/>
        <w:kern w:val="0"/>
        <w:sz w:val="18"/>
        <w:szCs w:val="18"/>
        <w:lang w:val="x-none" w:eastAsia="x-none"/>
      </w:rPr>
      <w:fldChar w:fldCharType="end"/>
    </w:r>
    <w:r w:rsidRPr="00060ACA">
      <w:rPr>
        <w:rFonts w:ascii="新宋体" w:eastAsia="新宋体" w:hAnsi="新宋体"/>
        <w:bCs/>
        <w:kern w:val="0"/>
        <w:sz w:val="18"/>
        <w:szCs w:val="18"/>
        <w:lang w:val="x-none" w:eastAsia="x-none"/>
      </w:rPr>
      <w:t xml:space="preserve">                                </w:t>
    </w:r>
    <w:proofErr w:type="spellStart"/>
    <w:r w:rsidRPr="00060ACA">
      <w:rPr>
        <w:rFonts w:ascii="新宋体" w:eastAsia="新宋体" w:hAnsi="新宋体" w:hint="eastAsia"/>
        <w:bCs/>
        <w:kern w:val="0"/>
        <w:sz w:val="18"/>
        <w:szCs w:val="18"/>
        <w:lang w:val="x-none" w:eastAsia="x-none"/>
      </w:rPr>
      <w:t>招标</w:t>
    </w:r>
    <w:r w:rsidRPr="00060ACA">
      <w:rPr>
        <w:rFonts w:ascii="新宋体" w:eastAsia="新宋体" w:hAnsi="新宋体"/>
        <w:bCs/>
        <w:kern w:val="0"/>
        <w:sz w:val="18"/>
        <w:szCs w:val="18"/>
        <w:lang w:val="x-none" w:eastAsia="x-none"/>
      </w:rPr>
      <w:t>文件</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D2A" w:rsidRDefault="00391D2A" w:rsidP="00391D2A">
      <w:r>
        <w:separator/>
      </w:r>
    </w:p>
  </w:footnote>
  <w:footnote w:type="continuationSeparator" w:id="0">
    <w:p w:rsidR="00391D2A" w:rsidRDefault="00391D2A" w:rsidP="00391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7C8A26"/>
    <w:multiLevelType w:val="multilevel"/>
    <w:tmpl w:val="827C8A26"/>
    <w:lvl w:ilvl="0">
      <w:start w:val="3"/>
      <w:numFmt w:val="chineseCounting"/>
      <w:suff w:val="nothing"/>
      <w:lvlText w:val="%1、"/>
      <w:lvlJc w:val="left"/>
      <w:pPr>
        <w:tabs>
          <w:tab w:val="num" w:pos="0"/>
        </w:tabs>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C5A31A25"/>
    <w:multiLevelType w:val="singleLevel"/>
    <w:tmpl w:val="C5A31A25"/>
    <w:lvl w:ilvl="0">
      <w:start w:val="1"/>
      <w:numFmt w:val="decimal"/>
      <w:lvlText w:val="%1)"/>
      <w:lvlJc w:val="left"/>
      <w:pPr>
        <w:ind w:left="425" w:hanging="425"/>
      </w:pPr>
      <w:rPr>
        <w:rFonts w:hint="default"/>
      </w:rPr>
    </w:lvl>
  </w:abstractNum>
  <w:abstractNum w:abstractNumId="2" w15:restartNumberingAfterBreak="0">
    <w:nsid w:val="C6D182A7"/>
    <w:multiLevelType w:val="singleLevel"/>
    <w:tmpl w:val="C6D182A7"/>
    <w:lvl w:ilvl="0">
      <w:start w:val="1"/>
      <w:numFmt w:val="decimal"/>
      <w:lvlText w:val="%1)"/>
      <w:lvlJc w:val="left"/>
      <w:pPr>
        <w:ind w:left="425" w:hanging="425"/>
      </w:pPr>
      <w:rPr>
        <w:rFonts w:hint="default"/>
      </w:rPr>
    </w:lvl>
  </w:abstractNum>
  <w:abstractNum w:abstractNumId="3" w15:restartNumberingAfterBreak="0">
    <w:nsid w:val="D66FC506"/>
    <w:multiLevelType w:val="singleLevel"/>
    <w:tmpl w:val="D66FC506"/>
    <w:lvl w:ilvl="0">
      <w:start w:val="1"/>
      <w:numFmt w:val="chineseCounting"/>
      <w:suff w:val="nothing"/>
      <w:lvlText w:val="%1、"/>
      <w:lvlJc w:val="left"/>
      <w:pPr>
        <w:ind w:left="0" w:firstLine="420"/>
      </w:pPr>
      <w:rPr>
        <w:rFonts w:hint="eastAsia"/>
      </w:rPr>
    </w:lvl>
  </w:abstractNum>
  <w:abstractNum w:abstractNumId="4" w15:restartNumberingAfterBreak="0">
    <w:nsid w:val="F109C64D"/>
    <w:multiLevelType w:val="singleLevel"/>
    <w:tmpl w:val="F109C64D"/>
    <w:lvl w:ilvl="0">
      <w:start w:val="1"/>
      <w:numFmt w:val="decimal"/>
      <w:lvlText w:val="%1)"/>
      <w:lvlJc w:val="left"/>
      <w:pPr>
        <w:ind w:left="425" w:hanging="425"/>
      </w:pPr>
      <w:rPr>
        <w:rFonts w:hint="default"/>
      </w:rPr>
    </w:lvl>
  </w:abstractNum>
  <w:abstractNum w:abstractNumId="5" w15:restartNumberingAfterBreak="0">
    <w:nsid w:val="F3440A54"/>
    <w:multiLevelType w:val="singleLevel"/>
    <w:tmpl w:val="F3440A54"/>
    <w:lvl w:ilvl="0">
      <w:start w:val="1"/>
      <w:numFmt w:val="decimal"/>
      <w:lvlText w:val="%1)"/>
      <w:lvlJc w:val="left"/>
      <w:pPr>
        <w:ind w:left="425" w:hanging="425"/>
      </w:pPr>
      <w:rPr>
        <w:rFonts w:hint="default"/>
      </w:rPr>
    </w:lvl>
  </w:abstractNum>
  <w:abstractNum w:abstractNumId="6" w15:restartNumberingAfterBreak="0">
    <w:nsid w:val="05250D7C"/>
    <w:multiLevelType w:val="multilevel"/>
    <w:tmpl w:val="7238367E"/>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06E64D60"/>
    <w:multiLevelType w:val="multilevel"/>
    <w:tmpl w:val="06E64D60"/>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15:restartNumberingAfterBreak="0">
    <w:nsid w:val="10C50F50"/>
    <w:multiLevelType w:val="multilevel"/>
    <w:tmpl w:val="10C50F50"/>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9" w15:restartNumberingAfterBreak="0">
    <w:nsid w:val="26B46EF2"/>
    <w:multiLevelType w:val="hybridMultilevel"/>
    <w:tmpl w:val="70389360"/>
    <w:lvl w:ilvl="0" w:tplc="6AA81BCA">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6C2C71"/>
    <w:multiLevelType w:val="multilevel"/>
    <w:tmpl w:val="2A6C2C71"/>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1" w15:restartNumberingAfterBreak="0">
    <w:nsid w:val="360E47F6"/>
    <w:multiLevelType w:val="singleLevel"/>
    <w:tmpl w:val="360E47F6"/>
    <w:lvl w:ilvl="0">
      <w:start w:val="1"/>
      <w:numFmt w:val="decimal"/>
      <w:lvlText w:val="%1)"/>
      <w:lvlJc w:val="left"/>
      <w:pPr>
        <w:ind w:left="425" w:hanging="425"/>
      </w:pPr>
      <w:rPr>
        <w:rFonts w:hint="default"/>
      </w:rPr>
    </w:lvl>
  </w:abstractNum>
  <w:abstractNum w:abstractNumId="12" w15:restartNumberingAfterBreak="0">
    <w:nsid w:val="37102C32"/>
    <w:multiLevelType w:val="multilevel"/>
    <w:tmpl w:val="37102C32"/>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3" w15:restartNumberingAfterBreak="0">
    <w:nsid w:val="3BE73FAF"/>
    <w:multiLevelType w:val="multilevel"/>
    <w:tmpl w:val="3BE73FAF"/>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4" w15:restartNumberingAfterBreak="0">
    <w:nsid w:val="4A376B7D"/>
    <w:multiLevelType w:val="multilevel"/>
    <w:tmpl w:val="4A376B7D"/>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5" w15:restartNumberingAfterBreak="0">
    <w:nsid w:val="50F33326"/>
    <w:multiLevelType w:val="multilevel"/>
    <w:tmpl w:val="50F33326"/>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587252FE"/>
    <w:multiLevelType w:val="multilevel"/>
    <w:tmpl w:val="587252FE"/>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7" w15:restartNumberingAfterBreak="0">
    <w:nsid w:val="59223AD3"/>
    <w:multiLevelType w:val="hybridMultilevel"/>
    <w:tmpl w:val="9D625288"/>
    <w:lvl w:ilvl="0" w:tplc="3BBA9E4E">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0E59FC"/>
    <w:multiLevelType w:val="singleLevel"/>
    <w:tmpl w:val="5B0E59FC"/>
    <w:lvl w:ilvl="0">
      <w:start w:val="1"/>
      <w:numFmt w:val="chineseCounting"/>
      <w:suff w:val="nothing"/>
      <w:lvlText w:val="（%1）"/>
      <w:lvlJc w:val="left"/>
      <w:pPr>
        <w:ind w:left="0" w:firstLine="420"/>
      </w:pPr>
      <w:rPr>
        <w:rFonts w:hint="eastAsia"/>
      </w:rPr>
    </w:lvl>
  </w:abstractNum>
  <w:abstractNum w:abstractNumId="19" w15:restartNumberingAfterBreak="0">
    <w:nsid w:val="5B0E5A22"/>
    <w:multiLevelType w:val="singleLevel"/>
    <w:tmpl w:val="5B0E5A22"/>
    <w:lvl w:ilvl="0">
      <w:start w:val="1"/>
      <w:numFmt w:val="decimal"/>
      <w:lvlText w:val="%1."/>
      <w:lvlJc w:val="left"/>
      <w:pPr>
        <w:ind w:left="425" w:hanging="425"/>
      </w:pPr>
      <w:rPr>
        <w:rFonts w:hint="default"/>
      </w:rPr>
    </w:lvl>
  </w:abstractNum>
  <w:abstractNum w:abstractNumId="20" w15:restartNumberingAfterBreak="0">
    <w:nsid w:val="5E7743CC"/>
    <w:multiLevelType w:val="hybridMultilevel"/>
    <w:tmpl w:val="F4D07CD2"/>
    <w:lvl w:ilvl="0" w:tplc="12049B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463114"/>
    <w:multiLevelType w:val="hybridMultilevel"/>
    <w:tmpl w:val="F076A51E"/>
    <w:lvl w:ilvl="0" w:tplc="C7407BFC">
      <w:start w:val="4"/>
      <w:numFmt w:val="japaneseCounting"/>
      <w:lvlText w:val="（%1）"/>
      <w:lvlJc w:val="left"/>
      <w:pPr>
        <w:ind w:left="1036" w:hanging="72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22" w15:restartNumberingAfterBreak="0">
    <w:nsid w:val="7CCAA909"/>
    <w:multiLevelType w:val="singleLevel"/>
    <w:tmpl w:val="7CCAA909"/>
    <w:lvl w:ilvl="0">
      <w:start w:val="1"/>
      <w:numFmt w:val="decimal"/>
      <w:lvlText w:val="(%1)"/>
      <w:lvlJc w:val="left"/>
      <w:pPr>
        <w:ind w:left="425" w:hanging="425"/>
      </w:pPr>
      <w:rPr>
        <w:rFonts w:hint="default"/>
      </w:rPr>
    </w:lvl>
  </w:abstractNum>
  <w:num w:numId="1">
    <w:abstractNumId w:val="21"/>
  </w:num>
  <w:num w:numId="2">
    <w:abstractNumId w:val="20"/>
  </w:num>
  <w:num w:numId="3">
    <w:abstractNumId w:val="17"/>
  </w:num>
  <w:num w:numId="4">
    <w:abstractNumId w:val="6"/>
  </w:num>
  <w:num w:numId="5">
    <w:abstractNumId w:val="18"/>
  </w:num>
  <w:num w:numId="6">
    <w:abstractNumId w:val="19"/>
  </w:num>
  <w:num w:numId="7">
    <w:abstractNumId w:val="5"/>
  </w:num>
  <w:num w:numId="8">
    <w:abstractNumId w:val="11"/>
  </w:num>
  <w:num w:numId="9">
    <w:abstractNumId w:val="2"/>
  </w:num>
  <w:num w:numId="10">
    <w:abstractNumId w:val="4"/>
  </w:num>
  <w:num w:numId="11">
    <w:abstractNumId w:val="1"/>
  </w:num>
  <w:num w:numId="12">
    <w:abstractNumId w:val="22"/>
  </w:num>
  <w:num w:numId="13">
    <w:abstractNumId w:val="9"/>
  </w:num>
  <w:num w:numId="14">
    <w:abstractNumId w:val="3"/>
  </w:num>
  <w:num w:numId="15">
    <w:abstractNumId w:val="8"/>
  </w:num>
  <w:num w:numId="16">
    <w:abstractNumId w:val="14"/>
  </w:num>
  <w:num w:numId="17">
    <w:abstractNumId w:val="12"/>
  </w:num>
  <w:num w:numId="18">
    <w:abstractNumId w:val="13"/>
  </w:num>
  <w:num w:numId="19">
    <w:abstractNumId w:val="7"/>
  </w:num>
  <w:num w:numId="20">
    <w:abstractNumId w:val="10"/>
  </w:num>
  <w:num w:numId="21">
    <w:abstractNumId w:val="15"/>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B67"/>
    <w:rsid w:val="0000002E"/>
    <w:rsid w:val="00035FDC"/>
    <w:rsid w:val="000E0AD6"/>
    <w:rsid w:val="000E24B2"/>
    <w:rsid w:val="001F6607"/>
    <w:rsid w:val="00391D2A"/>
    <w:rsid w:val="00474B0F"/>
    <w:rsid w:val="00584311"/>
    <w:rsid w:val="007104F5"/>
    <w:rsid w:val="007323E0"/>
    <w:rsid w:val="0087030C"/>
    <w:rsid w:val="008E10B1"/>
    <w:rsid w:val="00914F23"/>
    <w:rsid w:val="00AC2812"/>
    <w:rsid w:val="00AE721F"/>
    <w:rsid w:val="00B52D07"/>
    <w:rsid w:val="00BD3F95"/>
    <w:rsid w:val="00BE7455"/>
    <w:rsid w:val="00D71CF8"/>
    <w:rsid w:val="00E34658"/>
    <w:rsid w:val="00E34D08"/>
    <w:rsid w:val="00F07B67"/>
    <w:rsid w:val="00F5791C"/>
    <w:rsid w:val="00FC0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AF26D1B-1731-4FE9-912A-3BD24D6B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D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1D2A"/>
    <w:rPr>
      <w:sz w:val="18"/>
      <w:szCs w:val="18"/>
    </w:rPr>
  </w:style>
  <w:style w:type="paragraph" w:styleId="a5">
    <w:name w:val="footer"/>
    <w:basedOn w:val="a"/>
    <w:link w:val="a6"/>
    <w:uiPriority w:val="99"/>
    <w:unhideWhenUsed/>
    <w:rsid w:val="00391D2A"/>
    <w:pPr>
      <w:tabs>
        <w:tab w:val="center" w:pos="4153"/>
        <w:tab w:val="right" w:pos="8306"/>
      </w:tabs>
      <w:snapToGrid w:val="0"/>
      <w:jc w:val="left"/>
    </w:pPr>
    <w:rPr>
      <w:sz w:val="18"/>
      <w:szCs w:val="18"/>
    </w:rPr>
  </w:style>
  <w:style w:type="character" w:customStyle="1" w:styleId="a6">
    <w:name w:val="页脚 字符"/>
    <w:basedOn w:val="a0"/>
    <w:link w:val="a5"/>
    <w:uiPriority w:val="99"/>
    <w:rsid w:val="00391D2A"/>
    <w:rPr>
      <w:sz w:val="18"/>
      <w:szCs w:val="18"/>
    </w:rPr>
  </w:style>
  <w:style w:type="character" w:customStyle="1" w:styleId="a7">
    <w:name w:val="列表段落 字符"/>
    <w:link w:val="a8"/>
    <w:uiPriority w:val="34"/>
    <w:qFormat/>
    <w:locked/>
    <w:rsid w:val="0000002E"/>
  </w:style>
  <w:style w:type="paragraph" w:styleId="a8">
    <w:name w:val="List Paragraph"/>
    <w:basedOn w:val="a"/>
    <w:link w:val="a7"/>
    <w:uiPriority w:val="34"/>
    <w:qFormat/>
    <w:rsid w:val="0000002E"/>
    <w:pPr>
      <w:ind w:firstLine="420"/>
    </w:pPr>
  </w:style>
  <w:style w:type="paragraph" w:customStyle="1" w:styleId="2">
    <w:name w:val="正文 首行缩进:  2 字符"/>
    <w:basedOn w:val="a"/>
    <w:link w:val="2Char"/>
    <w:rsid w:val="0000002E"/>
    <w:pPr>
      <w:spacing w:line="360" w:lineRule="auto"/>
      <w:ind w:firstLineChars="200" w:firstLine="480"/>
    </w:pPr>
    <w:rPr>
      <w:rFonts w:ascii="Times New Roman" w:eastAsia="宋体" w:hAnsi="Times New Roman" w:cs="Times New Roman"/>
      <w:sz w:val="24"/>
      <w:szCs w:val="20"/>
      <w:lang w:val="x-none" w:eastAsia="x-none"/>
    </w:rPr>
  </w:style>
  <w:style w:type="character" w:customStyle="1" w:styleId="2Char">
    <w:name w:val="正文 首行缩进:  2 字符 Char"/>
    <w:link w:val="2"/>
    <w:rsid w:val="0000002E"/>
    <w:rPr>
      <w:rFonts w:ascii="Times New Roman" w:eastAsia="宋体" w:hAnsi="Times New Roman" w:cs="Times New Roman"/>
      <w:sz w:val="24"/>
      <w:szCs w:val="20"/>
      <w:lang w:val="x-none" w:eastAsia="x-none"/>
    </w:rPr>
  </w:style>
  <w:style w:type="paragraph" w:styleId="a9">
    <w:name w:val="Title"/>
    <w:basedOn w:val="a"/>
    <w:link w:val="aa"/>
    <w:uiPriority w:val="10"/>
    <w:qFormat/>
    <w:rsid w:val="007323E0"/>
    <w:pPr>
      <w:spacing w:before="240" w:after="60"/>
      <w:jc w:val="center"/>
      <w:outlineLvl w:val="0"/>
    </w:pPr>
    <w:rPr>
      <w:rFonts w:ascii="Arial" w:eastAsia="宋体" w:hAnsi="Arial" w:cs="Times New Roman"/>
      <w:b/>
      <w:bCs/>
      <w:sz w:val="32"/>
      <w:szCs w:val="32"/>
    </w:rPr>
  </w:style>
  <w:style w:type="character" w:customStyle="1" w:styleId="Char">
    <w:name w:val="标题 Char"/>
    <w:basedOn w:val="a0"/>
    <w:uiPriority w:val="10"/>
    <w:rsid w:val="007323E0"/>
    <w:rPr>
      <w:rFonts w:asciiTheme="majorHAnsi" w:eastAsia="宋体" w:hAnsiTheme="majorHAnsi" w:cstheme="majorBidi"/>
      <w:b/>
      <w:bCs/>
      <w:sz w:val="32"/>
      <w:szCs w:val="32"/>
    </w:rPr>
  </w:style>
  <w:style w:type="character" w:customStyle="1" w:styleId="Char1">
    <w:name w:val="列出段落 Char1"/>
    <w:uiPriority w:val="34"/>
    <w:qFormat/>
    <w:locked/>
    <w:rsid w:val="007323E0"/>
  </w:style>
  <w:style w:type="character" w:customStyle="1" w:styleId="aa">
    <w:name w:val="标题 字符"/>
    <w:link w:val="a9"/>
    <w:uiPriority w:val="10"/>
    <w:qFormat/>
    <w:locked/>
    <w:rsid w:val="007323E0"/>
    <w:rPr>
      <w:rFonts w:ascii="Arial" w:eastAsia="宋体" w:hAnsi="Arial" w:cs="Times New Roman"/>
      <w:b/>
      <w:bCs/>
      <w:sz w:val="32"/>
      <w:szCs w:val="32"/>
    </w:rPr>
  </w:style>
  <w:style w:type="character" w:customStyle="1" w:styleId="myCharChar">
    <w:name w:val="my正文 Char Char"/>
    <w:link w:val="my"/>
    <w:qFormat/>
    <w:locked/>
    <w:rsid w:val="007323E0"/>
    <w:rPr>
      <w:sz w:val="24"/>
      <w:szCs w:val="24"/>
    </w:rPr>
  </w:style>
  <w:style w:type="paragraph" w:customStyle="1" w:styleId="my">
    <w:name w:val="my正文"/>
    <w:basedOn w:val="a"/>
    <w:link w:val="myCharChar"/>
    <w:qFormat/>
    <w:rsid w:val="007323E0"/>
    <w:pPr>
      <w:spacing w:line="360" w:lineRule="auto"/>
      <w:ind w:firstLineChars="200" w:firstLine="480"/>
    </w:pPr>
    <w:rPr>
      <w:sz w:val="24"/>
      <w:szCs w:val="24"/>
    </w:rPr>
  </w:style>
  <w:style w:type="paragraph" w:customStyle="1" w:styleId="AltZ">
    <w:name w:val="！正文Alt+Z"/>
    <w:basedOn w:val="a"/>
    <w:qFormat/>
    <w:rsid w:val="007323E0"/>
    <w:pPr>
      <w:ind w:firstLineChars="200" w:firstLine="200"/>
      <w:jc w:val="left"/>
    </w:pPr>
    <w:rPr>
      <w:rFonts w:ascii="宋体" w:eastAsia="宋体" w:hAnsi="宋体" w:cs="Times New Roman"/>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421</Words>
  <Characters>2404</Characters>
  <Application>Microsoft Office Word</Application>
  <DocSecurity>0</DocSecurity>
  <Lines>20</Lines>
  <Paragraphs>5</Paragraphs>
  <ScaleCrop>false</ScaleCrop>
  <Company>china</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瑞凝信</dc:creator>
  <cp:keywords/>
  <dc:description/>
  <cp:lastModifiedBy>H1762</cp:lastModifiedBy>
  <cp:revision>22</cp:revision>
  <dcterms:created xsi:type="dcterms:W3CDTF">2018-07-14T05:06:00Z</dcterms:created>
  <dcterms:modified xsi:type="dcterms:W3CDTF">2019-03-27T02:29:00Z</dcterms:modified>
</cp:coreProperties>
</file>