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11" w:rsidRDefault="00374611" w:rsidP="00374611">
      <w:pPr>
        <w:keepNext/>
        <w:keepLines/>
        <w:spacing w:before="260" w:after="260" w:line="413" w:lineRule="auto"/>
        <w:jc w:val="center"/>
        <w:outlineLvl w:val="1"/>
        <w:rPr>
          <w:rFonts w:ascii="Times New Roman" w:eastAsia="黑体" w:hAnsi="Times New Roman" w:cs="Times New Roman"/>
          <w:b/>
          <w:sz w:val="32"/>
        </w:rPr>
      </w:pPr>
      <w:bookmarkStart w:id="0" w:name="_Toc531772066"/>
      <w:r w:rsidRPr="00374611">
        <w:rPr>
          <w:rFonts w:ascii="Times New Roman" w:eastAsia="黑体" w:hAnsi="Times New Roman" w:cs="Times New Roman" w:hint="eastAsia"/>
          <w:b/>
          <w:sz w:val="32"/>
        </w:rPr>
        <w:t>第六章　项目采购需求</w:t>
      </w:r>
      <w:bookmarkEnd w:id="0"/>
    </w:p>
    <w:p w:rsidR="001C5C1C" w:rsidRPr="00FA12A0" w:rsidRDefault="001C5C1C" w:rsidP="001C5C1C">
      <w:pPr>
        <w:spacing w:line="360" w:lineRule="auto"/>
        <w:rPr>
          <w:rFonts w:ascii="新宋体" w:eastAsia="新宋体" w:hAnsi="新宋体"/>
          <w:b/>
          <w:szCs w:val="21"/>
        </w:rPr>
      </w:pPr>
      <w:r w:rsidRPr="00FA12A0">
        <w:rPr>
          <w:rFonts w:ascii="新宋体" w:eastAsia="新宋体" w:hAnsi="新宋体" w:hint="eastAsia"/>
          <w:b/>
          <w:szCs w:val="21"/>
        </w:rPr>
        <w:t>一、技术条款</w:t>
      </w:r>
    </w:p>
    <w:p w:rsidR="001C5C1C" w:rsidRPr="00FA12A0" w:rsidRDefault="001C5C1C" w:rsidP="001C5C1C">
      <w:pPr>
        <w:spacing w:line="360" w:lineRule="auto"/>
        <w:rPr>
          <w:rFonts w:ascii="新宋体" w:eastAsia="新宋体" w:hAnsi="新宋体" w:hint="eastAsia"/>
          <w:szCs w:val="21"/>
        </w:rPr>
      </w:pPr>
      <w:r w:rsidRPr="00FA12A0">
        <w:rPr>
          <w:rFonts w:ascii="新宋体" w:eastAsia="新宋体" w:hAnsi="新宋体" w:hint="eastAsia"/>
          <w:b/>
          <w:szCs w:val="21"/>
        </w:rPr>
        <w:t xml:space="preserve"> </w:t>
      </w:r>
      <w:r w:rsidRPr="00FA12A0">
        <w:rPr>
          <w:rFonts w:ascii="新宋体" w:eastAsia="新宋体" w:hAnsi="新宋体"/>
          <w:b/>
          <w:szCs w:val="21"/>
        </w:rPr>
        <w:t xml:space="preserve">   </w:t>
      </w:r>
      <w:r w:rsidRPr="00FA12A0">
        <w:rPr>
          <w:rFonts w:ascii="新宋体" w:eastAsia="新宋体" w:hAnsi="新宋体"/>
          <w:szCs w:val="21"/>
        </w:rPr>
        <w:t>1</w:t>
      </w:r>
      <w:r w:rsidRPr="00FA12A0">
        <w:rPr>
          <w:rFonts w:ascii="新宋体" w:eastAsia="新宋体" w:hAnsi="新宋体" w:hint="eastAsia"/>
          <w:szCs w:val="21"/>
        </w:rPr>
        <w:t>、采购设备名称：交换机；数量6台；采购预算1</w:t>
      </w:r>
      <w:r w:rsidRPr="00FA12A0">
        <w:rPr>
          <w:rFonts w:ascii="新宋体" w:eastAsia="新宋体" w:hAnsi="新宋体"/>
          <w:szCs w:val="21"/>
        </w:rPr>
        <w:t>08</w:t>
      </w:r>
      <w:r w:rsidRPr="00FA12A0">
        <w:rPr>
          <w:rFonts w:ascii="新宋体" w:eastAsia="新宋体" w:hAnsi="新宋体" w:hint="eastAsia"/>
          <w:szCs w:val="21"/>
        </w:rPr>
        <w:t>万</w:t>
      </w:r>
      <w:r w:rsidRPr="00FA12A0">
        <w:rPr>
          <w:rFonts w:ascii="新宋体" w:eastAsia="新宋体" w:hAnsi="新宋体"/>
          <w:szCs w:val="21"/>
        </w:rPr>
        <w:t xml:space="preserve"> </w:t>
      </w:r>
    </w:p>
    <w:p w:rsidR="001C5C1C" w:rsidRPr="00FA12A0" w:rsidRDefault="001C5C1C" w:rsidP="001C5C1C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FA12A0">
        <w:rPr>
          <w:rFonts w:ascii="新宋体" w:eastAsia="新宋体" w:hAnsi="新宋体"/>
          <w:szCs w:val="21"/>
        </w:rPr>
        <w:t>2</w:t>
      </w:r>
      <w:r w:rsidRPr="00FA12A0">
        <w:rPr>
          <w:rFonts w:ascii="新宋体" w:eastAsia="新宋体" w:hAnsi="新宋体" w:hint="eastAsia"/>
          <w:szCs w:val="21"/>
        </w:rPr>
        <w:t>、技术性能指标：</w:t>
      </w:r>
    </w:p>
    <w:p w:rsidR="001C5C1C" w:rsidRPr="00FA12A0" w:rsidRDefault="001C5C1C" w:rsidP="001C5C1C">
      <w:pPr>
        <w:spacing w:line="360" w:lineRule="auto"/>
        <w:rPr>
          <w:rFonts w:ascii="新宋体" w:eastAsia="新宋体" w:hAnsi="新宋体"/>
          <w:szCs w:val="21"/>
        </w:rPr>
      </w:pPr>
      <w:r w:rsidRPr="00FA12A0">
        <w:rPr>
          <w:rFonts w:ascii="新宋体" w:eastAsia="新宋体" w:hAnsi="新宋体" w:hint="eastAsia"/>
          <w:szCs w:val="21"/>
        </w:rPr>
        <w:t>（带*号为必须满足的技术指标项，不满足则废标，带▲号为重要技术指标项，不满足重点扣分）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7634"/>
        <w:gridCol w:w="20"/>
      </w:tblGrid>
      <w:tr w:rsidR="001C5C1C" w:rsidRPr="00FA12A0" w:rsidTr="003F5631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货物名称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技术要求</w:t>
            </w:r>
          </w:p>
        </w:tc>
      </w:tr>
      <w:tr w:rsidR="001C5C1C" w:rsidRPr="00FA12A0" w:rsidTr="003F5631">
        <w:trPr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交换机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1.1、机架式2 RU设备；</w:t>
            </w: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1.2、USB2.0端口≥1，RJ45端口≥1；</w:t>
            </w: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1.3、交换容量≥6.4Tbps；</w:t>
            </w: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*1.4、交换芯片配置Barefoot Tofino；可支持与现有10G交换机互联，单台配置≥2个10G端口，；</w:t>
            </w: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▲1.5、可支持≥64 x QSFP28交换端口，提供相关证明材料。</w:t>
            </w: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1.6、交换机操作系统支持Open Network Linux 和SONiC</w:t>
            </w: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1.7、交换机配置RAM≥16GB，</w:t>
            </w: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1.8交换机配置SSD≥128G；</w:t>
            </w: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1.9、提供配套软件，</w:t>
            </w:r>
            <w:r w:rsidRPr="00FA12A0">
              <w:rPr>
                <w:rFonts w:ascii="新宋体" w:eastAsia="新宋体" w:hAnsi="新宋体" w:hint="eastAsia"/>
                <w:szCs w:val="21"/>
                <w:highlight w:val="yellow"/>
              </w:rPr>
              <w:t>提供软件开发环境（SDE）</w:t>
            </w:r>
            <w:r w:rsidRPr="00FA12A0">
              <w:rPr>
                <w:rFonts w:ascii="新宋体" w:eastAsia="新宋体" w:hAnsi="新宋体" w:hint="eastAsia"/>
                <w:szCs w:val="21"/>
              </w:rPr>
              <w:t>，提供软件底层Root权限，</w:t>
            </w:r>
            <w:r w:rsidRPr="00FA12A0">
              <w:rPr>
                <w:rFonts w:ascii="新宋体" w:eastAsia="新宋体" w:hAnsi="新宋体" w:hint="eastAsia"/>
                <w:szCs w:val="21"/>
                <w:highlight w:val="yellow"/>
              </w:rPr>
              <w:t>提供3年内版本升级服务</w:t>
            </w:r>
            <w:r w:rsidRPr="00FA12A0">
              <w:rPr>
                <w:rFonts w:ascii="新宋体" w:eastAsia="新宋体" w:hAnsi="新宋体" w:hint="eastAsia"/>
                <w:szCs w:val="21"/>
              </w:rPr>
              <w:t xml:space="preserve">；  </w:t>
            </w: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 xml:space="preserve">1.10、配套软件可支持vSLB、vUTM、vWAF+、vNAS虚拟化网络功能，投标人须在投标文件中提供证明材料；  </w:t>
            </w:r>
          </w:p>
        </w:tc>
      </w:tr>
      <w:tr w:rsidR="001C5C1C" w:rsidRPr="00FA12A0" w:rsidTr="003F5631">
        <w:trPr>
          <w:gridAfter w:val="1"/>
          <w:wAfter w:w="20" w:type="dxa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 xml:space="preserve">1.11、配套软件支持以授权码模式激活功能，默认激活2个vSLB、2个vUTM；  </w:t>
            </w:r>
          </w:p>
        </w:tc>
      </w:tr>
      <w:tr w:rsidR="001C5C1C" w:rsidRPr="00FA12A0" w:rsidTr="003F5631">
        <w:trPr>
          <w:gridAfter w:val="1"/>
          <w:wAfter w:w="20" w:type="dxa"/>
          <w:trHeight w:val="642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1.12、支持二次开发需求，配套软件开源部分代码，并针对反馈进行功能完善，承诺3年开发技术支持。</w:t>
            </w:r>
          </w:p>
        </w:tc>
      </w:tr>
      <w:tr w:rsidR="001C5C1C" w:rsidRPr="00FA12A0" w:rsidTr="003F5631">
        <w:trPr>
          <w:gridAfter w:val="1"/>
          <w:wAfter w:w="20" w:type="dxa"/>
          <w:trHeight w:val="554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1.13、交换机配置4-Core  Intel X86 Broadwell-DE Pentium D-1527 CPU，主频≥2.2GHz；</w:t>
            </w:r>
          </w:p>
        </w:tc>
      </w:tr>
      <w:tr w:rsidR="001C5C1C" w:rsidRPr="00FA12A0" w:rsidTr="003F5631">
        <w:trPr>
          <w:gridAfter w:val="1"/>
          <w:wAfter w:w="20" w:type="dxa"/>
          <w:trHeight w:val="558"/>
          <w:jc w:val="center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1.14、电源和风扇框冗余设计，要求风扇框个数≥4，任意风扇框故障或者不在位不能造成业务中断；</w:t>
            </w:r>
          </w:p>
        </w:tc>
      </w:tr>
      <w:tr w:rsidR="001C5C1C" w:rsidRPr="00FA12A0" w:rsidTr="003F5631">
        <w:trPr>
          <w:gridAfter w:val="1"/>
          <w:wAfter w:w="20" w:type="dxa"/>
          <w:trHeight w:val="375"/>
          <w:jc w:val="center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C1C" w:rsidRPr="00FA12A0" w:rsidRDefault="001C5C1C" w:rsidP="003F5631">
            <w:pPr>
              <w:rPr>
                <w:rFonts w:ascii="新宋体" w:eastAsia="新宋体" w:hAnsi="新宋体"/>
                <w:szCs w:val="21"/>
              </w:rPr>
            </w:pPr>
            <w:r w:rsidRPr="00FA12A0">
              <w:rPr>
                <w:rFonts w:ascii="新宋体" w:eastAsia="新宋体" w:hAnsi="新宋体" w:hint="eastAsia"/>
                <w:szCs w:val="21"/>
              </w:rPr>
              <w:t>1.15、提供交换机</w:t>
            </w:r>
            <w:r w:rsidRPr="00FA12A0">
              <w:rPr>
                <w:rFonts w:ascii="新宋体" w:eastAsia="新宋体" w:hAnsi="新宋体" w:hint="eastAsia"/>
                <w:szCs w:val="21"/>
                <w:highlight w:val="yellow"/>
              </w:rPr>
              <w:t>软件开发环境配套</w:t>
            </w:r>
            <w:r w:rsidRPr="00FA12A0">
              <w:rPr>
                <w:rFonts w:ascii="新宋体" w:eastAsia="新宋体" w:hAnsi="新宋体" w:hint="eastAsia"/>
                <w:szCs w:val="21"/>
              </w:rPr>
              <w:t xml:space="preserve">BSP8.7.0（ Board Support Package) </w:t>
            </w:r>
            <w:r w:rsidRPr="00FA12A0">
              <w:rPr>
                <w:rFonts w:ascii="新宋体" w:eastAsia="新宋体" w:hAnsi="新宋体" w:hint="eastAsia"/>
                <w:szCs w:val="21"/>
                <w:highlight w:val="yellow"/>
              </w:rPr>
              <w:t>板级支持包及版本升级服务</w:t>
            </w:r>
            <w:r w:rsidRPr="00FA12A0"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</w:tbl>
    <w:p w:rsidR="001C5C1C" w:rsidRPr="00FA12A0" w:rsidRDefault="001C5C1C" w:rsidP="001C5C1C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FA12A0">
        <w:rPr>
          <w:rFonts w:ascii="新宋体" w:eastAsia="新宋体" w:hAnsi="新宋体"/>
          <w:szCs w:val="21"/>
        </w:rPr>
        <w:t>3</w:t>
      </w:r>
      <w:r w:rsidRPr="00FA12A0">
        <w:rPr>
          <w:rFonts w:ascii="新宋体" w:eastAsia="新宋体" w:hAnsi="新宋体" w:hint="eastAsia"/>
          <w:szCs w:val="21"/>
        </w:rPr>
        <w:t>、配置清单及零配件（包括专用工具）：无</w:t>
      </w:r>
    </w:p>
    <w:p w:rsidR="001C5C1C" w:rsidRDefault="001C5C1C" w:rsidP="001C5C1C">
      <w:pPr>
        <w:spacing w:line="360" w:lineRule="auto"/>
        <w:rPr>
          <w:rFonts w:ascii="新宋体" w:eastAsia="新宋体" w:hAnsi="新宋体" w:hint="eastAsia"/>
          <w:b/>
          <w:szCs w:val="21"/>
        </w:rPr>
      </w:pPr>
      <w:r w:rsidRPr="00FA12A0">
        <w:rPr>
          <w:rFonts w:ascii="新宋体" w:eastAsia="新宋体" w:hAnsi="新宋体" w:hint="eastAsia"/>
          <w:b/>
          <w:szCs w:val="21"/>
        </w:rPr>
        <w:t xml:space="preserve"> 二、商务条款</w:t>
      </w:r>
    </w:p>
    <w:p w:rsidR="001C5C1C" w:rsidRDefault="001C5C1C" w:rsidP="001C5C1C">
      <w:pPr>
        <w:spacing w:line="360" w:lineRule="auto"/>
        <w:rPr>
          <w:rFonts w:ascii="新宋体" w:eastAsia="新宋体" w:hAnsi="新宋体" w:hint="eastAsia"/>
          <w:szCs w:val="21"/>
        </w:rPr>
      </w:pPr>
      <w:r w:rsidRPr="00FA12A0">
        <w:rPr>
          <w:rFonts w:ascii="新宋体" w:eastAsia="新宋体" w:hAnsi="新宋体" w:hint="eastAsia"/>
          <w:szCs w:val="21"/>
        </w:rPr>
        <w:t>（带*号为必须满足的</w:t>
      </w:r>
      <w:r>
        <w:rPr>
          <w:rFonts w:ascii="新宋体" w:eastAsia="新宋体" w:hAnsi="新宋体" w:hint="eastAsia"/>
          <w:szCs w:val="21"/>
        </w:rPr>
        <w:t>商务</w:t>
      </w:r>
      <w:r w:rsidRPr="00FA12A0">
        <w:rPr>
          <w:rFonts w:ascii="新宋体" w:eastAsia="新宋体" w:hAnsi="新宋体" w:hint="eastAsia"/>
          <w:szCs w:val="21"/>
        </w:rPr>
        <w:t>指标项，不满足则废标）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2835"/>
        <w:gridCol w:w="5121"/>
      </w:tblGrid>
      <w:tr w:rsidR="001C5C1C" w:rsidRPr="00C91681" w:rsidTr="003F5631">
        <w:trPr>
          <w:trHeight w:val="389"/>
          <w:jc w:val="center"/>
        </w:trPr>
        <w:tc>
          <w:tcPr>
            <w:tcW w:w="814" w:type="dxa"/>
            <w:vAlign w:val="center"/>
          </w:tcPr>
          <w:p w:rsidR="001C5C1C" w:rsidRPr="0097501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97501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序号</w:t>
            </w:r>
          </w:p>
        </w:tc>
        <w:tc>
          <w:tcPr>
            <w:tcW w:w="2835" w:type="dxa"/>
            <w:vAlign w:val="center"/>
          </w:tcPr>
          <w:p w:rsidR="001C5C1C" w:rsidRPr="0097501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97501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目录</w:t>
            </w:r>
          </w:p>
        </w:tc>
        <w:tc>
          <w:tcPr>
            <w:tcW w:w="5121" w:type="dxa"/>
            <w:vAlign w:val="center"/>
          </w:tcPr>
          <w:p w:rsidR="001C5C1C" w:rsidRPr="0097501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97501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招标文件的商务条款</w:t>
            </w:r>
          </w:p>
        </w:tc>
      </w:tr>
      <w:tr w:rsidR="001C5C1C" w:rsidRPr="00C91681" w:rsidTr="003F5631">
        <w:trPr>
          <w:trHeight w:val="373"/>
          <w:jc w:val="center"/>
        </w:trPr>
        <w:tc>
          <w:tcPr>
            <w:tcW w:w="8770" w:type="dxa"/>
            <w:gridSpan w:val="3"/>
            <w:vAlign w:val="center"/>
          </w:tcPr>
          <w:p w:rsidR="001C5C1C" w:rsidRPr="0097501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97501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（一）免费保修期内售后服务条款偏离表</w:t>
            </w:r>
          </w:p>
        </w:tc>
      </w:tr>
      <w:tr w:rsidR="001C5C1C" w:rsidRPr="00C91681" w:rsidTr="003F5631">
        <w:trPr>
          <w:trHeight w:val="405"/>
          <w:jc w:val="center"/>
        </w:trPr>
        <w:tc>
          <w:tcPr>
            <w:tcW w:w="814" w:type="dxa"/>
            <w:vAlign w:val="center"/>
          </w:tcPr>
          <w:p w:rsidR="001C5C1C" w:rsidRPr="0097501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 w:rsidR="001C5C1C" w:rsidRPr="0097501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质保和售后服务</w:t>
            </w:r>
          </w:p>
        </w:tc>
        <w:tc>
          <w:tcPr>
            <w:tcW w:w="5121" w:type="dxa"/>
            <w:vAlign w:val="center"/>
          </w:tcPr>
          <w:p w:rsidR="001C5C1C" w:rsidRPr="00C46805" w:rsidRDefault="001C5C1C" w:rsidP="003F5631">
            <w:pPr>
              <w:ind w:firstLineChars="200" w:firstLine="420"/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卖方需为本项目配备足够的售后服务力量。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 xml:space="preserve">   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卖方售后服务响应时间：提供</w:t>
            </w:r>
            <w:r w:rsidRPr="00C46805">
              <w:rPr>
                <w:rFonts w:ascii="新宋体" w:eastAsia="新宋体" w:hAnsi="新宋体"/>
                <w:bCs/>
                <w:szCs w:val="21"/>
              </w:rPr>
              <w:t>5*8小时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电话响应，到场响应时间要求2个小时内（指从接到报障至到达故障现场的时间）。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lastRenderedPageBreak/>
              <w:t>要求原生产厂商提供三年保修。</w:t>
            </w:r>
            <w:r w:rsidRPr="00C46805">
              <w:rPr>
                <w:rFonts w:ascii="新宋体" w:eastAsia="新宋体" w:hAnsi="新宋体"/>
                <w:bCs/>
                <w:szCs w:val="21"/>
              </w:rPr>
              <w:t xml:space="preserve"> 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 xml:space="preserve">    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卖方必须能够随时提供全新备品，一旦设备出现问题必须保证全新备品能在24小时内到现场，48小时内解决相关问题。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 xml:space="preserve">   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卖方免费提供技术支持热线电话。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 xml:space="preserve">   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卖方免费提供email技术支持，并且在24小时内回复。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 xml:space="preserve">   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卖方提供仪器设备的免费保修期至少 3年（保修期内免费维修并更换除消耗品以外的零部件，维修人员的路费、食宿等自理）。</w:t>
            </w:r>
          </w:p>
          <w:p w:rsidR="001C5C1C" w:rsidRPr="00C46805" w:rsidRDefault="001C5C1C" w:rsidP="003F5631">
            <w:pPr>
              <w:ind w:firstLineChars="200" w:firstLine="420"/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卖方提供该设备的技术使用说明书及外购配件仪器说明书，并指导在使用该设备时的操作注意事项等。</w:t>
            </w:r>
          </w:p>
        </w:tc>
      </w:tr>
      <w:tr w:rsidR="001C5C1C" w:rsidRPr="00C91681" w:rsidTr="003F5631">
        <w:trPr>
          <w:trHeight w:val="405"/>
          <w:jc w:val="center"/>
        </w:trPr>
        <w:tc>
          <w:tcPr>
            <w:tcW w:w="814" w:type="dxa"/>
            <w:vAlign w:val="center"/>
          </w:tcPr>
          <w:p w:rsidR="001C5C1C" w:rsidRPr="0097501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1C5C1C" w:rsidRPr="0097501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培训要求</w:t>
            </w:r>
          </w:p>
        </w:tc>
        <w:tc>
          <w:tcPr>
            <w:tcW w:w="5121" w:type="dxa"/>
            <w:vAlign w:val="center"/>
          </w:tcPr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1）满足24小时热线服务；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2）为保证卖方所提供的仪器设备安全、可靠运行，便于买方的运行维护，必须对买方培训合格的维护和管理人员；</w:t>
            </w:r>
          </w:p>
          <w:p w:rsidR="001C5C1C" w:rsidRPr="00975015" w:rsidRDefault="001C5C1C" w:rsidP="003F5631">
            <w:pPr>
              <w:rPr>
                <w:rFonts w:ascii="新宋体" w:eastAsia="新宋体" w:hAnsi="新宋体"/>
                <w:bCs/>
              </w:rPr>
            </w:pPr>
            <w:r w:rsidRPr="00C46805">
              <w:rPr>
                <w:rFonts w:ascii="新宋体" w:eastAsia="新宋体" w:hAnsi="新宋体"/>
                <w:bCs/>
                <w:szCs w:val="21"/>
              </w:rPr>
              <w:t>3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）卖方负责对买方提供至少一次现场技术培训，以便工作人员在培训后能熟练地掌握系统的维护工作，并能及时排除大部分的系统障碍。</w:t>
            </w:r>
          </w:p>
        </w:tc>
      </w:tr>
      <w:tr w:rsidR="001C5C1C" w:rsidRPr="00C91681" w:rsidTr="003F5631">
        <w:trPr>
          <w:trHeight w:val="405"/>
          <w:jc w:val="center"/>
        </w:trPr>
        <w:tc>
          <w:tcPr>
            <w:tcW w:w="8770" w:type="dxa"/>
            <w:gridSpan w:val="3"/>
            <w:vAlign w:val="center"/>
          </w:tcPr>
          <w:p w:rsidR="001C5C1C" w:rsidRPr="0097501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97501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（二）其他商务条款偏离表</w:t>
            </w:r>
          </w:p>
        </w:tc>
      </w:tr>
      <w:tr w:rsidR="001C5C1C" w:rsidRPr="00C91681" w:rsidTr="003F5631">
        <w:trPr>
          <w:trHeight w:val="405"/>
          <w:jc w:val="center"/>
        </w:trPr>
        <w:tc>
          <w:tcPr>
            <w:tcW w:w="814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交货地点</w:t>
            </w:r>
          </w:p>
        </w:tc>
        <w:tc>
          <w:tcPr>
            <w:tcW w:w="5121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鹏城实验室指定地点</w:t>
            </w:r>
          </w:p>
        </w:tc>
      </w:tr>
      <w:tr w:rsidR="001C5C1C" w:rsidRPr="00C91681" w:rsidTr="003F5631">
        <w:trPr>
          <w:trHeight w:val="405"/>
          <w:jc w:val="center"/>
        </w:trPr>
        <w:tc>
          <w:tcPr>
            <w:tcW w:w="814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2835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*交货期</w:t>
            </w:r>
          </w:p>
        </w:tc>
        <w:tc>
          <w:tcPr>
            <w:tcW w:w="5121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合同签订后1周内交付并通过采购人验收。</w:t>
            </w:r>
          </w:p>
        </w:tc>
      </w:tr>
      <w:tr w:rsidR="001C5C1C" w:rsidRPr="00C91681" w:rsidTr="003F5631">
        <w:trPr>
          <w:trHeight w:val="1404"/>
          <w:jc w:val="center"/>
        </w:trPr>
        <w:tc>
          <w:tcPr>
            <w:tcW w:w="814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报价方式及要求：</w:t>
            </w:r>
          </w:p>
        </w:tc>
        <w:tc>
          <w:tcPr>
            <w:tcW w:w="5121" w:type="dxa"/>
            <w:vAlign w:val="center"/>
          </w:tcPr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1）</w:t>
            </w:r>
            <w:r w:rsidRPr="00FA12A0">
              <w:rPr>
                <w:rFonts w:ascii="新宋体" w:eastAsia="新宋体" w:hAnsi="新宋体" w:hint="eastAsia"/>
                <w:bCs/>
                <w:szCs w:val="21"/>
              </w:rPr>
              <w:t>国产货物：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投标价包含仪器设备的价款、税费、包装、运输、装卸、安装、调试、技术指导、培训、咨询、服务、保险、检测、验收合格交付使用之前以及技术和售后服务、质保期退运返修等其他所有费用。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2）</w:t>
            </w:r>
            <w:r w:rsidRPr="00FA12A0">
              <w:rPr>
                <w:rFonts w:ascii="新宋体" w:eastAsia="新宋体" w:hAnsi="新宋体" w:hint="eastAsia"/>
                <w:bCs/>
                <w:szCs w:val="21"/>
              </w:rPr>
              <w:t>进口货物：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人民币报价（含税），投标价格中应包含仪器设备购置、包装运输及保险（境内、外）、装卸安装、调试、技术服务培训、检测、质保期内设备及部件故障的更换，维修、退运（境内、外）、进口关税、进口环节增值税、消费税、</w:t>
            </w:r>
            <w:r w:rsidRPr="00FA12A0">
              <w:rPr>
                <w:rFonts w:ascii="新宋体" w:eastAsia="新宋体" w:hAnsi="新宋体" w:hint="eastAsia"/>
                <w:bCs/>
                <w:szCs w:val="21"/>
              </w:rPr>
              <w:t>外贸代理费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、杂费等其他所有费用。未注明人民币免税价的，则一律按人民币含税价执行。</w:t>
            </w:r>
          </w:p>
          <w:p w:rsidR="001C5C1C" w:rsidRPr="00FA12A0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FA12A0">
              <w:rPr>
                <w:rFonts w:ascii="新宋体" w:eastAsia="新宋体" w:hAnsi="新宋体"/>
                <w:bCs/>
                <w:szCs w:val="21"/>
              </w:rPr>
              <w:t>注：</w:t>
            </w:r>
          </w:p>
          <w:p w:rsidR="001C5C1C" w:rsidRPr="00FA12A0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FA12A0">
              <w:rPr>
                <w:rFonts w:ascii="新宋体" w:eastAsia="新宋体" w:hAnsi="新宋体" w:hint="eastAsia"/>
                <w:bCs/>
                <w:szCs w:val="21"/>
              </w:rPr>
              <w:t>① 若本项目需要使用美元结算时，则按中国银行（</w:t>
            </w:r>
            <w:r w:rsidRPr="00FA12A0">
              <w:rPr>
                <w:rFonts w:ascii="新宋体" w:eastAsia="新宋体" w:hAnsi="新宋体"/>
                <w:bCs/>
                <w:szCs w:val="21"/>
              </w:rPr>
              <w:t>现汇卖出价</w:t>
            </w:r>
            <w:r w:rsidRPr="00FA12A0">
              <w:rPr>
                <w:rFonts w:ascii="新宋体" w:eastAsia="新宋体" w:hAnsi="新宋体" w:hint="eastAsia"/>
                <w:bCs/>
                <w:szCs w:val="21"/>
              </w:rPr>
              <w:t>）开标当日开标时人民币兑美元的汇率作为结算汇率；</w:t>
            </w:r>
          </w:p>
          <w:p w:rsidR="001C5C1C" w:rsidRPr="00FA12A0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FA12A0">
              <w:rPr>
                <w:rFonts w:ascii="新宋体" w:eastAsia="新宋体" w:hAnsi="新宋体" w:hint="eastAsia"/>
                <w:bCs/>
                <w:szCs w:val="21"/>
              </w:rPr>
              <w:t>② 若参与投标的进口货物免税报价时，如有国内供货部分需在《投标分项报价表》上注明含税报价，届时需要提供税务局出具的有效发票，否则不予支付该部分货款</w:t>
            </w:r>
            <w:r w:rsidRPr="00FA12A0">
              <w:rPr>
                <w:rFonts w:ascii="新宋体" w:eastAsia="新宋体" w:hAnsi="新宋体"/>
                <w:bCs/>
                <w:szCs w:val="21"/>
              </w:rPr>
              <w:t>。</w:t>
            </w:r>
          </w:p>
          <w:p w:rsidR="001C5C1C" w:rsidRPr="00FA12A0" w:rsidRDefault="001C5C1C" w:rsidP="003F5631">
            <w:pPr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FA12A0">
              <w:rPr>
                <w:rFonts w:ascii="新宋体" w:eastAsia="新宋体" w:hAnsi="新宋体" w:hint="eastAsia"/>
                <w:bCs/>
                <w:szCs w:val="21"/>
              </w:rPr>
              <w:t>③ 依据国家相关法律法规，项目中不可免税部分请单报人民币含税价格</w:t>
            </w:r>
          </w:p>
          <w:p w:rsidR="001C5C1C" w:rsidRPr="00C46805" w:rsidRDefault="001C5C1C" w:rsidP="003F5631">
            <w:pPr>
              <w:pStyle w:val="a9"/>
              <w:jc w:val="left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④ 若</w:t>
            </w: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投</w:t>
            </w: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标</w:t>
            </w: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人所投产品</w:t>
            </w: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产</w:t>
            </w: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地为美国</w:t>
            </w: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，</w:t>
            </w: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且在国家</w:t>
            </w: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加</w:t>
            </w: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征关税</w:t>
            </w: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lastRenderedPageBreak/>
              <w:t>范围内的，则</w:t>
            </w: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投</w:t>
            </w: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标人报价中</w:t>
            </w: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须</w:t>
            </w: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包含此项费</w:t>
            </w: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，</w:t>
            </w: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采购人不在另</w:t>
            </w: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行</w:t>
            </w: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t>支付。</w:t>
            </w:r>
          </w:p>
        </w:tc>
      </w:tr>
      <w:tr w:rsidR="001C5C1C" w:rsidRPr="00C91681" w:rsidTr="003F5631">
        <w:trPr>
          <w:trHeight w:val="405"/>
          <w:jc w:val="center"/>
        </w:trPr>
        <w:tc>
          <w:tcPr>
            <w:tcW w:w="814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付款方式</w:t>
            </w:r>
          </w:p>
        </w:tc>
        <w:tc>
          <w:tcPr>
            <w:tcW w:w="5121" w:type="dxa"/>
            <w:vAlign w:val="center"/>
          </w:tcPr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1）国产货物，① 40%货款签订合同后支付；② 设备到货安装验收合格后，凭买方加盖公章的安装验收报告支付剩余的60%货款；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2）进口货物，① 4</w:t>
            </w:r>
            <w:r w:rsidRPr="00C46805">
              <w:rPr>
                <w:rFonts w:ascii="新宋体" w:eastAsia="新宋体" w:hAnsi="新宋体"/>
                <w:bCs/>
                <w:szCs w:val="21"/>
              </w:rPr>
              <w:t>0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>%货款签订合同后支付；②设备到货安装验收合格后，凭买方加盖公章的安装验收报告支付剩余的60%货款。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3）具体付款比率根据采购人实际情况决定，以合同约定为准。</w:t>
            </w:r>
          </w:p>
        </w:tc>
      </w:tr>
      <w:tr w:rsidR="001C5C1C" w:rsidRPr="00C91681" w:rsidTr="003F5631">
        <w:trPr>
          <w:trHeight w:val="405"/>
          <w:jc w:val="center"/>
        </w:trPr>
        <w:tc>
          <w:tcPr>
            <w:tcW w:w="814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运输及包装方式的要求</w:t>
            </w:r>
          </w:p>
        </w:tc>
        <w:tc>
          <w:tcPr>
            <w:tcW w:w="5121" w:type="dxa"/>
            <w:vAlign w:val="center"/>
          </w:tcPr>
          <w:p w:rsidR="001C5C1C" w:rsidRPr="00C46805" w:rsidRDefault="001C5C1C" w:rsidP="003F5631">
            <w:pPr>
              <w:pStyle w:val="a9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设备的包装、运输由卖方负责，应使用崭新坚固的木质包装（标准包装），适合于空运、或陆运等长途运输方式；适合气候变化；卖方应对任何由于不当包装或防护措施不利而导致的商品损坏、损失、费用增长等后果负责。</w:t>
            </w:r>
          </w:p>
        </w:tc>
      </w:tr>
      <w:tr w:rsidR="001C5C1C" w:rsidRPr="00C91681" w:rsidTr="003F5631">
        <w:trPr>
          <w:trHeight w:val="405"/>
          <w:jc w:val="center"/>
        </w:trPr>
        <w:tc>
          <w:tcPr>
            <w:tcW w:w="814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2835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安装、调试及验收：</w:t>
            </w:r>
          </w:p>
        </w:tc>
        <w:tc>
          <w:tcPr>
            <w:tcW w:w="5121" w:type="dxa"/>
            <w:vAlign w:val="center"/>
          </w:tcPr>
          <w:p w:rsidR="001C5C1C" w:rsidRPr="00C46805" w:rsidRDefault="001C5C1C" w:rsidP="003F5631">
            <w:pPr>
              <w:ind w:firstLineChars="200" w:firstLine="420"/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卖方技术工程师负责现场的免费安装、调试。</w:t>
            </w:r>
          </w:p>
          <w:p w:rsidR="001C5C1C" w:rsidRPr="00C46805" w:rsidRDefault="001C5C1C" w:rsidP="003F5631">
            <w:pPr>
              <w:ind w:firstLineChars="200" w:firstLine="420"/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      </w:r>
          </w:p>
          <w:p w:rsidR="001C5C1C" w:rsidRPr="00C46805" w:rsidRDefault="001C5C1C" w:rsidP="003F5631">
            <w:pPr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 xml:space="preserve">    </w:t>
            </w:r>
            <w:r w:rsidRPr="00C46805">
              <w:rPr>
                <w:rFonts w:ascii="新宋体" w:eastAsia="新宋体" w:hAnsi="新宋体" w:hint="eastAsia"/>
                <w:bCs/>
                <w:szCs w:val="21"/>
              </w:rPr>
      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      </w:r>
          </w:p>
          <w:p w:rsidR="001C5C1C" w:rsidRPr="00C46805" w:rsidRDefault="001C5C1C" w:rsidP="003F5631">
            <w:pPr>
              <w:pStyle w:val="a9"/>
              <w:jc w:val="left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 xml:space="preserve">    </w:t>
            </w: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</w:t>
            </w:r>
          </w:p>
        </w:tc>
      </w:tr>
      <w:tr w:rsidR="001C5C1C" w:rsidRPr="00C91681" w:rsidTr="003F5631">
        <w:trPr>
          <w:trHeight w:val="405"/>
          <w:jc w:val="center"/>
        </w:trPr>
        <w:tc>
          <w:tcPr>
            <w:tcW w:w="814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7</w:t>
            </w:r>
          </w:p>
        </w:tc>
        <w:tc>
          <w:tcPr>
            <w:tcW w:w="2835" w:type="dxa"/>
            <w:vAlign w:val="center"/>
          </w:tcPr>
          <w:p w:rsidR="001C5C1C" w:rsidRPr="00C46805" w:rsidRDefault="001C5C1C" w:rsidP="003F5631">
            <w:pPr>
              <w:pStyle w:val="a9"/>
              <w:jc w:val="center"/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</w:pP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质量及知识产权要求</w:t>
            </w:r>
          </w:p>
        </w:tc>
        <w:tc>
          <w:tcPr>
            <w:tcW w:w="5121" w:type="dxa"/>
            <w:vAlign w:val="center"/>
          </w:tcPr>
          <w:p w:rsidR="001C5C1C" w:rsidRPr="00C46805" w:rsidRDefault="001C5C1C" w:rsidP="003F5631">
            <w:pPr>
              <w:ind w:firstLineChars="200" w:firstLine="420"/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C46805">
              <w:rPr>
                <w:rFonts w:ascii="新宋体" w:eastAsia="新宋体" w:hAnsi="新宋体" w:hint="eastAsia"/>
                <w:bCs/>
                <w:szCs w:val="21"/>
              </w:rPr>
              <w:t>卖方提供完好、全新的原包装产品（包括零配件），随机技术资料齐全。产品符合国家质量检测标准，必须具有生产日期、厂名、厂址、产品合格证等。进口产品须提供海关进货单（复印件备查）。</w:t>
            </w:r>
          </w:p>
          <w:p w:rsidR="001C5C1C" w:rsidRPr="00C46805" w:rsidRDefault="001C5C1C" w:rsidP="003F5631">
            <w:pPr>
              <w:pStyle w:val="a9"/>
              <w:jc w:val="left"/>
              <w:rPr>
                <w:rFonts w:ascii="新宋体" w:eastAsia="新宋体" w:hAnsi="新宋体"/>
                <w:bCs/>
                <w:kern w:val="2"/>
                <w:sz w:val="21"/>
                <w:lang w:val="en-US" w:eastAsia="zh-CN"/>
              </w:rPr>
            </w:pPr>
            <w:r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 xml:space="preserve">    </w:t>
            </w:r>
            <w:r w:rsidRPr="00C46805">
              <w:rPr>
                <w:rFonts w:ascii="新宋体" w:eastAsia="新宋体" w:hAnsi="新宋体" w:hint="eastAsia"/>
                <w:bCs/>
                <w:kern w:val="2"/>
                <w:sz w:val="21"/>
                <w:lang w:val="en-US" w:eastAsia="zh-CN"/>
              </w:rPr>
              <w:t>买方在中国使用该货物或货物的任何一部分时，免受第三方提出的侵犯其专利权、商标权或工业设计权等知识产权的起诉或司法干预。如果发生上述起诉或干预，则其法律责任均由卖方负责。</w:t>
            </w:r>
          </w:p>
        </w:tc>
      </w:tr>
    </w:tbl>
    <w:p w:rsidR="001C5C1C" w:rsidRPr="00FA12A0" w:rsidRDefault="001C5C1C" w:rsidP="001C5C1C">
      <w:pPr>
        <w:spacing w:line="360" w:lineRule="auto"/>
        <w:rPr>
          <w:rFonts w:ascii="新宋体" w:eastAsia="新宋体" w:hAnsi="新宋体"/>
          <w:b/>
          <w:szCs w:val="21"/>
        </w:rPr>
      </w:pPr>
    </w:p>
    <w:p w:rsidR="001C5C1C" w:rsidRPr="00FA12A0" w:rsidRDefault="001C5C1C" w:rsidP="001C5C1C">
      <w:pPr>
        <w:spacing w:line="360" w:lineRule="auto"/>
        <w:rPr>
          <w:rFonts w:ascii="新宋体" w:eastAsia="新宋体" w:hAnsi="新宋体" w:hint="eastAsia"/>
          <w:szCs w:val="21"/>
        </w:rPr>
      </w:pPr>
    </w:p>
    <w:p w:rsidR="00B25542" w:rsidRPr="001C5C1C" w:rsidRDefault="00B25542" w:rsidP="00B25542">
      <w:bookmarkStart w:id="1" w:name="_GoBack"/>
      <w:bookmarkEnd w:id="1"/>
    </w:p>
    <w:sectPr w:rsidR="00B25542" w:rsidRPr="001C5C1C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060ACA" w:rsidRDefault="001C5C1C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深圳市瑞凝信招标咨询有限公司</w:t>
    </w:r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1C5C1C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3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1C5C1C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3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C5C1C"/>
    <w:rsid w:val="001E13C0"/>
    <w:rsid w:val="00374611"/>
    <w:rsid w:val="00391D2A"/>
    <w:rsid w:val="00584311"/>
    <w:rsid w:val="00634E4A"/>
    <w:rsid w:val="0087030C"/>
    <w:rsid w:val="00914F23"/>
    <w:rsid w:val="00AC2812"/>
    <w:rsid w:val="00AE721F"/>
    <w:rsid w:val="00B25542"/>
    <w:rsid w:val="00B52D07"/>
    <w:rsid w:val="00BD3F95"/>
    <w:rsid w:val="00BE7455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出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paragraph" w:styleId="a9">
    <w:name w:val="Plain Text"/>
    <w:basedOn w:val="a"/>
    <w:link w:val="aa"/>
    <w:uiPriority w:val="99"/>
    <w:qFormat/>
    <w:rsid w:val="001C5C1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a">
    <w:name w:val="纯文本 字符"/>
    <w:basedOn w:val="a0"/>
    <w:link w:val="a9"/>
    <w:uiPriority w:val="99"/>
    <w:qFormat/>
    <w:rsid w:val="001C5C1C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395</Words>
  <Characters>2258</Characters>
  <Application>Microsoft Office Word</Application>
  <DocSecurity>0</DocSecurity>
  <Lines>18</Lines>
  <Paragraphs>5</Paragraphs>
  <ScaleCrop>false</ScaleCrop>
  <Company>china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Sky123.Org</cp:lastModifiedBy>
  <cp:revision>23</cp:revision>
  <dcterms:created xsi:type="dcterms:W3CDTF">2018-07-14T05:06:00Z</dcterms:created>
  <dcterms:modified xsi:type="dcterms:W3CDTF">2019-04-04T07:38:00Z</dcterms:modified>
</cp:coreProperties>
</file>