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52" w:rsidRPr="008B3A7D" w:rsidRDefault="00F15852" w:rsidP="00F15852">
      <w:pPr>
        <w:spacing w:line="360" w:lineRule="auto"/>
        <w:rPr>
          <w:rFonts w:ascii="新宋体" w:eastAsia="新宋体" w:hAnsi="新宋体"/>
          <w:b/>
          <w:szCs w:val="21"/>
        </w:rPr>
      </w:pPr>
      <w:bookmarkStart w:id="0" w:name="_Toc491769824"/>
      <w:bookmarkStart w:id="1" w:name="_Toc30808"/>
      <w:bookmarkStart w:id="2" w:name="_Toc31860"/>
      <w:bookmarkStart w:id="3" w:name="_Toc16649"/>
      <w:r w:rsidRPr="008B3A7D">
        <w:rPr>
          <w:rFonts w:ascii="新宋体" w:eastAsia="新宋体" w:hAnsi="新宋体" w:hint="eastAsia"/>
          <w:b/>
          <w:szCs w:val="21"/>
        </w:rPr>
        <w:t>关键需求指标：</w:t>
      </w:r>
      <w:bookmarkStart w:id="4" w:name="_Toc14454"/>
      <w:bookmarkStart w:id="5" w:name="_Toc31158"/>
      <w:bookmarkStart w:id="6" w:name="_Toc31592"/>
      <w:bookmarkStart w:id="7" w:name="_Toc18312"/>
    </w:p>
    <w:bookmarkEnd w:id="0"/>
    <w:bookmarkEnd w:id="1"/>
    <w:bookmarkEnd w:id="2"/>
    <w:bookmarkEnd w:id="3"/>
    <w:bookmarkEnd w:id="4"/>
    <w:bookmarkEnd w:id="5"/>
    <w:bookmarkEnd w:id="6"/>
    <w:bookmarkEnd w:id="7"/>
    <w:p w:rsidR="00F15852" w:rsidRPr="00F15852" w:rsidRDefault="00F15852" w:rsidP="00F15852">
      <w:pPr>
        <w:pStyle w:val="1"/>
        <w:tabs>
          <w:tab w:val="left" w:pos="0"/>
        </w:tabs>
        <w:spacing w:line="360" w:lineRule="auto"/>
        <w:jc w:val="left"/>
        <w:rPr>
          <w:rFonts w:ascii="新宋体" w:eastAsia="新宋体" w:hAnsi="新宋体"/>
          <w:sz w:val="21"/>
          <w:szCs w:val="21"/>
        </w:rPr>
      </w:pPr>
      <w:r w:rsidRPr="00F15852">
        <w:rPr>
          <w:rFonts w:ascii="新宋体" w:eastAsia="新宋体" w:hAnsi="新宋体" w:hint="eastAsia"/>
          <w:bCs w:val="0"/>
          <w:sz w:val="21"/>
          <w:szCs w:val="21"/>
        </w:rPr>
        <w:t>一、商务需求：</w:t>
      </w:r>
      <w:bookmarkStart w:id="8" w:name="_GoBack"/>
      <w:bookmarkEnd w:id="8"/>
    </w:p>
    <w:p w:rsidR="00F15852" w:rsidRPr="008B3A7D" w:rsidRDefault="00F15852" w:rsidP="00F15852">
      <w:pPr>
        <w:pStyle w:val="3"/>
        <w:numPr>
          <w:ilvl w:val="0"/>
          <w:numId w:val="22"/>
        </w:numPr>
        <w:spacing w:line="400" w:lineRule="exact"/>
        <w:rPr>
          <w:rFonts w:ascii="新宋体" w:eastAsia="新宋体" w:hAnsi="新宋体"/>
          <w:bCs w:val="0"/>
          <w:sz w:val="21"/>
          <w:szCs w:val="21"/>
          <w:lang w:val="en-US" w:eastAsia="zh-CN"/>
        </w:rPr>
      </w:pPr>
      <w:bookmarkStart w:id="9" w:name="Fivetoubiaobaojia6"/>
      <w:bookmarkStart w:id="10" w:name="付款方法和条件"/>
      <w:bookmarkEnd w:id="9"/>
      <w:bookmarkEnd w:id="10"/>
      <w:r w:rsidRPr="008B3A7D">
        <w:rPr>
          <w:rFonts w:ascii="新宋体" w:eastAsia="新宋体" w:hAnsi="新宋体" w:hint="eastAsia"/>
          <w:bCs w:val="0"/>
          <w:sz w:val="21"/>
          <w:szCs w:val="21"/>
          <w:lang w:val="en-US" w:eastAsia="zh-CN"/>
        </w:rPr>
        <w:t>建设工期</w:t>
      </w:r>
      <w:r w:rsidRPr="008B3A7D">
        <w:rPr>
          <w:rFonts w:ascii="新宋体" w:eastAsia="新宋体" w:hAnsi="新宋体"/>
          <w:bCs w:val="0"/>
          <w:sz w:val="21"/>
          <w:szCs w:val="21"/>
          <w:lang w:val="en-US" w:eastAsia="zh-CN"/>
        </w:rPr>
        <w:t>：</w:t>
      </w:r>
    </w:p>
    <w:p w:rsidR="00F15852" w:rsidRPr="008B3A7D" w:rsidRDefault="00F15852" w:rsidP="00F15852">
      <w:pPr>
        <w:ind w:firstLineChars="200" w:firstLine="420"/>
        <w:jc w:val="left"/>
        <w:rPr>
          <w:rFonts w:ascii="新宋体" w:eastAsia="新宋体" w:hAnsi="新宋体"/>
          <w:szCs w:val="21"/>
        </w:rPr>
      </w:pPr>
      <w:r w:rsidRPr="008B3A7D">
        <w:rPr>
          <w:rFonts w:ascii="新宋体" w:eastAsia="新宋体" w:hAnsi="新宋体" w:hint="eastAsia"/>
          <w:szCs w:val="21"/>
        </w:rPr>
        <w:t>合同签订且审批通过后</w:t>
      </w:r>
      <w:r w:rsidRPr="008B3A7D">
        <w:rPr>
          <w:rFonts w:ascii="新宋体" w:eastAsia="新宋体" w:hAnsi="新宋体"/>
          <w:szCs w:val="21"/>
        </w:rPr>
        <w:t>45</w:t>
      </w:r>
      <w:r w:rsidRPr="008B3A7D">
        <w:rPr>
          <w:rFonts w:ascii="新宋体" w:eastAsia="新宋体" w:hAnsi="新宋体" w:hint="eastAsia"/>
          <w:szCs w:val="21"/>
        </w:rPr>
        <w:t>个日历日内完成服务。</w:t>
      </w:r>
    </w:p>
    <w:p w:rsidR="00F15852" w:rsidRPr="008B3A7D" w:rsidRDefault="00F15852" w:rsidP="00F15852">
      <w:pPr>
        <w:ind w:firstLineChars="200" w:firstLine="420"/>
        <w:jc w:val="left"/>
        <w:rPr>
          <w:rFonts w:ascii="新宋体" w:eastAsia="新宋体" w:hAnsi="新宋体"/>
          <w:szCs w:val="21"/>
        </w:rPr>
      </w:pPr>
      <w:r w:rsidRPr="008B3A7D">
        <w:rPr>
          <w:rFonts w:ascii="新宋体" w:eastAsia="新宋体" w:hAnsi="新宋体" w:hint="eastAsia"/>
          <w:szCs w:val="21"/>
        </w:rPr>
        <w:t>服务产品的附件、备品备件及专用工具应随产品一同交付（如果服务过程中出现特殊情况的，服务期经双方协商后可以顺延）。</w:t>
      </w:r>
    </w:p>
    <w:p w:rsidR="00F15852" w:rsidRPr="008B3A7D" w:rsidRDefault="00F15852" w:rsidP="00F15852">
      <w:pPr>
        <w:pStyle w:val="3"/>
        <w:numPr>
          <w:ilvl w:val="0"/>
          <w:numId w:val="22"/>
        </w:numPr>
        <w:spacing w:line="400" w:lineRule="exact"/>
        <w:rPr>
          <w:rFonts w:ascii="新宋体" w:eastAsia="新宋体" w:hAnsi="新宋体"/>
          <w:bCs w:val="0"/>
          <w:sz w:val="21"/>
          <w:szCs w:val="21"/>
          <w:lang w:val="en-US" w:eastAsia="zh-CN"/>
        </w:rPr>
      </w:pPr>
      <w:bookmarkStart w:id="11" w:name="售后服务"/>
      <w:bookmarkStart w:id="12" w:name="_Toc515352807"/>
      <w:bookmarkEnd w:id="11"/>
      <w:r w:rsidRPr="008B3A7D">
        <w:rPr>
          <w:rFonts w:ascii="新宋体" w:eastAsia="新宋体" w:hAnsi="新宋体" w:hint="eastAsia"/>
          <w:bCs w:val="0"/>
          <w:sz w:val="21"/>
          <w:szCs w:val="21"/>
          <w:lang w:val="en-US" w:eastAsia="zh-CN"/>
        </w:rPr>
        <w:t>质量保证期及问题处理：</w:t>
      </w:r>
      <w:bookmarkEnd w:id="12"/>
    </w:p>
    <w:p w:rsidR="00F15852" w:rsidRPr="008B3A7D" w:rsidRDefault="00F15852" w:rsidP="00F15852">
      <w:pPr>
        <w:numPr>
          <w:ilvl w:val="0"/>
          <w:numId w:val="21"/>
        </w:numPr>
        <w:tabs>
          <w:tab w:val="clear" w:pos="1440"/>
        </w:tabs>
        <w:spacing w:line="400" w:lineRule="exact"/>
        <w:ind w:left="0" w:firstLine="0"/>
        <w:rPr>
          <w:rFonts w:ascii="新宋体" w:eastAsia="新宋体" w:hAnsi="新宋体"/>
          <w:szCs w:val="21"/>
        </w:rPr>
      </w:pPr>
      <w:r w:rsidRPr="008B3A7D">
        <w:rPr>
          <w:rFonts w:ascii="新宋体" w:eastAsia="新宋体" w:hAnsi="新宋体" w:hint="eastAsia"/>
          <w:szCs w:val="21"/>
        </w:rPr>
        <w:t>自验收合格（以技术验收合格签字为标准）之日起，中标人向采购人提供1年免费软件维护服务。</w:t>
      </w:r>
    </w:p>
    <w:p w:rsidR="00F15852" w:rsidRPr="008B3A7D" w:rsidRDefault="00F15852" w:rsidP="00F15852">
      <w:pPr>
        <w:numPr>
          <w:ilvl w:val="0"/>
          <w:numId w:val="21"/>
        </w:numPr>
        <w:tabs>
          <w:tab w:val="clear" w:pos="1440"/>
        </w:tabs>
        <w:spacing w:line="400" w:lineRule="exact"/>
        <w:ind w:left="0" w:firstLine="0"/>
        <w:rPr>
          <w:rFonts w:ascii="新宋体" w:eastAsia="新宋体" w:hAnsi="新宋体"/>
          <w:szCs w:val="21"/>
        </w:rPr>
      </w:pPr>
      <w:r w:rsidRPr="008B3A7D">
        <w:rPr>
          <w:rFonts w:ascii="新宋体" w:eastAsia="新宋体" w:hAnsi="新宋体" w:hint="eastAsia"/>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10日内没有弥补缺陷，采购人可自行采取必要的补救措施，但风险和费用由中标人承担，采购人同时保留通过法律途径进行索赔的权利。</w:t>
      </w:r>
    </w:p>
    <w:p w:rsidR="00F15852" w:rsidRPr="008B3A7D" w:rsidRDefault="00F15852" w:rsidP="00F15852">
      <w:pPr>
        <w:pStyle w:val="3"/>
        <w:numPr>
          <w:ilvl w:val="0"/>
          <w:numId w:val="22"/>
        </w:numPr>
        <w:spacing w:line="400" w:lineRule="exact"/>
        <w:rPr>
          <w:rFonts w:ascii="新宋体" w:eastAsia="新宋体" w:hAnsi="新宋体"/>
          <w:bCs w:val="0"/>
          <w:sz w:val="21"/>
          <w:szCs w:val="21"/>
          <w:lang w:val="en-US" w:eastAsia="zh-CN"/>
        </w:rPr>
      </w:pPr>
      <w:r w:rsidRPr="008B3A7D">
        <w:rPr>
          <w:rFonts w:ascii="新宋体" w:eastAsia="新宋体" w:hAnsi="新宋体" w:hint="eastAsia"/>
          <w:bCs w:val="0"/>
          <w:sz w:val="21"/>
          <w:szCs w:val="21"/>
          <w:lang w:val="en-US" w:eastAsia="zh-CN"/>
        </w:rPr>
        <w:t>售后服务需求：</w:t>
      </w:r>
    </w:p>
    <w:p w:rsidR="00F15852" w:rsidRPr="008B3A7D" w:rsidRDefault="00F15852" w:rsidP="00F15852">
      <w:pPr>
        <w:numPr>
          <w:ilvl w:val="0"/>
          <w:numId w:val="23"/>
        </w:numPr>
        <w:tabs>
          <w:tab w:val="clear" w:pos="1440"/>
        </w:tabs>
        <w:spacing w:line="400" w:lineRule="exact"/>
        <w:ind w:left="0" w:firstLine="0"/>
        <w:rPr>
          <w:rFonts w:ascii="新宋体" w:eastAsia="新宋体" w:hAnsi="新宋体"/>
          <w:szCs w:val="21"/>
        </w:rPr>
      </w:pPr>
      <w:r w:rsidRPr="008B3A7D">
        <w:rPr>
          <w:rFonts w:ascii="新宋体" w:eastAsia="新宋体" w:hAnsi="新宋体" w:hint="eastAsia"/>
          <w:szCs w:val="21"/>
        </w:rPr>
        <w:t>质保期内，中标人将向采购人提供优质的售后技术支持服务，开通2</w:t>
      </w:r>
      <w:r w:rsidRPr="008B3A7D">
        <w:rPr>
          <w:rFonts w:ascii="新宋体" w:eastAsia="新宋体" w:hAnsi="新宋体"/>
          <w:szCs w:val="21"/>
        </w:rPr>
        <w:t>4</w:t>
      </w:r>
      <w:r w:rsidRPr="008B3A7D">
        <w:rPr>
          <w:rFonts w:ascii="新宋体" w:eastAsia="新宋体" w:hAnsi="新宋体" w:hint="eastAsia"/>
          <w:szCs w:val="21"/>
        </w:rPr>
        <w:t>小时热线电话接受采购人的电话技术咨询，响应时间在2小时内；如故障不能排除，中标人应在2日内提供现场服务，待产品运行正常后撤离现场。</w:t>
      </w:r>
    </w:p>
    <w:p w:rsidR="00F15852" w:rsidRPr="008B3A7D" w:rsidRDefault="00F15852" w:rsidP="00F15852">
      <w:pPr>
        <w:numPr>
          <w:ilvl w:val="0"/>
          <w:numId w:val="23"/>
        </w:numPr>
        <w:tabs>
          <w:tab w:val="clear" w:pos="1440"/>
        </w:tabs>
        <w:spacing w:line="400" w:lineRule="exact"/>
        <w:ind w:left="0" w:firstLine="0"/>
        <w:rPr>
          <w:rFonts w:ascii="新宋体" w:eastAsia="新宋体" w:hAnsi="新宋体"/>
          <w:szCs w:val="21"/>
        </w:rPr>
      </w:pPr>
      <w:r w:rsidRPr="008B3A7D">
        <w:rPr>
          <w:rFonts w:ascii="新宋体" w:eastAsia="新宋体" w:hAnsi="新宋体" w:hint="eastAsia"/>
          <w:szCs w:val="21"/>
        </w:rPr>
        <w:t>中标人应定期对产品进行预维护保养，以防患于未然。在整个产品运行过程中，中标人帮助采购人解决在应用过程中遇到的各种技术问题。</w:t>
      </w:r>
    </w:p>
    <w:p w:rsidR="00F15852" w:rsidRPr="008B3A7D" w:rsidRDefault="00F15852" w:rsidP="00F15852">
      <w:pPr>
        <w:pStyle w:val="3"/>
        <w:numPr>
          <w:ilvl w:val="0"/>
          <w:numId w:val="22"/>
        </w:numPr>
        <w:spacing w:line="400" w:lineRule="exact"/>
        <w:rPr>
          <w:rFonts w:ascii="新宋体" w:eastAsia="新宋体" w:hAnsi="新宋体"/>
          <w:bCs w:val="0"/>
          <w:sz w:val="21"/>
          <w:szCs w:val="21"/>
          <w:lang w:val="en-US" w:eastAsia="zh-CN"/>
        </w:rPr>
      </w:pPr>
      <w:bookmarkStart w:id="13" w:name="ninetigongdedata9"/>
      <w:bookmarkEnd w:id="13"/>
      <w:r w:rsidRPr="008B3A7D">
        <w:rPr>
          <w:rFonts w:ascii="新宋体" w:eastAsia="新宋体" w:hAnsi="新宋体" w:hint="eastAsia"/>
          <w:bCs w:val="0"/>
          <w:sz w:val="21"/>
          <w:szCs w:val="21"/>
          <w:lang w:val="en-US" w:eastAsia="zh-CN"/>
        </w:rPr>
        <w:t>技术培训：</w:t>
      </w:r>
    </w:p>
    <w:p w:rsidR="00F15852" w:rsidRPr="008B3A7D" w:rsidRDefault="00F15852" w:rsidP="00F15852">
      <w:pPr>
        <w:spacing w:line="400" w:lineRule="exact"/>
        <w:ind w:firstLineChars="200" w:firstLine="420"/>
        <w:rPr>
          <w:rFonts w:ascii="新宋体" w:eastAsia="新宋体" w:hAnsi="新宋体"/>
          <w:szCs w:val="21"/>
        </w:rPr>
      </w:pPr>
      <w:r w:rsidRPr="008B3A7D">
        <w:rPr>
          <w:rFonts w:ascii="新宋体" w:eastAsia="新宋体" w:hAnsi="新宋体" w:hint="eastAsia"/>
          <w:szCs w:val="21"/>
        </w:rPr>
        <w:t>中标人提供详细技术资料并免费按采购人要求进行技术培训。培训的内容及方案应由双方协商制定。中标人前来进行技术培训人员的费用包括在合同总价中。</w:t>
      </w:r>
    </w:p>
    <w:p w:rsidR="00F15852" w:rsidRPr="008B3A7D" w:rsidRDefault="00F15852" w:rsidP="00F15852">
      <w:pPr>
        <w:pStyle w:val="3"/>
        <w:numPr>
          <w:ilvl w:val="0"/>
          <w:numId w:val="22"/>
        </w:numPr>
        <w:spacing w:line="400" w:lineRule="exact"/>
        <w:rPr>
          <w:rFonts w:ascii="新宋体" w:eastAsia="新宋体" w:hAnsi="新宋体"/>
          <w:bCs w:val="0"/>
          <w:sz w:val="21"/>
          <w:szCs w:val="21"/>
          <w:lang w:val="en-US" w:eastAsia="zh-CN"/>
        </w:rPr>
      </w:pPr>
      <w:r w:rsidRPr="008B3A7D">
        <w:rPr>
          <w:rFonts w:ascii="新宋体" w:eastAsia="新宋体" w:hAnsi="新宋体" w:hint="eastAsia"/>
          <w:bCs w:val="0"/>
          <w:sz w:val="21"/>
          <w:szCs w:val="21"/>
          <w:lang w:val="en-US" w:eastAsia="zh-CN"/>
        </w:rPr>
        <w:t>其他</w:t>
      </w:r>
      <w:r w:rsidRPr="008B3A7D">
        <w:rPr>
          <w:rFonts w:ascii="新宋体" w:eastAsia="新宋体" w:hAnsi="新宋体"/>
          <w:bCs w:val="0"/>
          <w:sz w:val="21"/>
          <w:szCs w:val="21"/>
          <w:lang w:val="en-US" w:eastAsia="zh-CN"/>
        </w:rPr>
        <w:t>：</w:t>
      </w:r>
    </w:p>
    <w:p w:rsidR="00F15852" w:rsidRPr="008B3A7D" w:rsidRDefault="00F15852" w:rsidP="00F15852">
      <w:pPr>
        <w:numPr>
          <w:ilvl w:val="0"/>
          <w:numId w:val="24"/>
        </w:numPr>
        <w:tabs>
          <w:tab w:val="clear" w:pos="1440"/>
        </w:tabs>
        <w:spacing w:line="400" w:lineRule="exact"/>
        <w:ind w:left="0" w:firstLine="0"/>
        <w:rPr>
          <w:rFonts w:ascii="新宋体" w:eastAsia="新宋体" w:hAnsi="新宋体"/>
          <w:szCs w:val="21"/>
        </w:rPr>
      </w:pPr>
      <w:r w:rsidRPr="008B3A7D">
        <w:rPr>
          <w:rFonts w:ascii="新宋体" w:eastAsia="新宋体" w:hAnsi="新宋体" w:hint="eastAsia"/>
          <w:szCs w:val="21"/>
        </w:rPr>
        <w:t>中标人应按其投标文件中的承诺，进行其他售后服务工作。</w:t>
      </w:r>
    </w:p>
    <w:p w:rsidR="00F15852" w:rsidRPr="008B3A7D" w:rsidRDefault="00F15852" w:rsidP="00F15852">
      <w:pPr>
        <w:numPr>
          <w:ilvl w:val="0"/>
          <w:numId w:val="24"/>
        </w:numPr>
        <w:tabs>
          <w:tab w:val="clear" w:pos="1440"/>
        </w:tabs>
        <w:spacing w:line="400" w:lineRule="exact"/>
        <w:ind w:left="0" w:firstLine="0"/>
        <w:rPr>
          <w:rFonts w:ascii="新宋体" w:eastAsia="新宋体" w:hAnsi="新宋体"/>
          <w:szCs w:val="21"/>
        </w:rPr>
      </w:pPr>
      <w:r w:rsidRPr="008B3A7D">
        <w:rPr>
          <w:rFonts w:ascii="新宋体" w:eastAsia="新宋体" w:hAnsi="新宋体" w:hint="eastAsia"/>
          <w:szCs w:val="21"/>
        </w:rPr>
        <w:t>验收时做好与现有系统技术衔接，并做好相关技术文档移交。</w:t>
      </w:r>
    </w:p>
    <w:p w:rsidR="00F15852" w:rsidRPr="008B3A7D" w:rsidRDefault="00F15852" w:rsidP="00F15852">
      <w:pPr>
        <w:spacing w:line="400" w:lineRule="exact"/>
        <w:rPr>
          <w:rFonts w:ascii="新宋体" w:eastAsia="新宋体" w:hAnsi="新宋体"/>
          <w:szCs w:val="21"/>
        </w:rPr>
      </w:pPr>
    </w:p>
    <w:p w:rsidR="00F15852" w:rsidRPr="008B3A7D" w:rsidRDefault="00F15852" w:rsidP="00F15852">
      <w:pPr>
        <w:spacing w:line="400" w:lineRule="exact"/>
        <w:rPr>
          <w:rFonts w:ascii="新宋体" w:eastAsia="新宋体" w:hAnsi="新宋体"/>
          <w:szCs w:val="21"/>
        </w:rPr>
      </w:pPr>
    </w:p>
    <w:p w:rsidR="00F15852" w:rsidRPr="00F15852" w:rsidRDefault="00F15852" w:rsidP="00F15852">
      <w:pPr>
        <w:pStyle w:val="1"/>
        <w:tabs>
          <w:tab w:val="left" w:pos="0"/>
        </w:tabs>
        <w:spacing w:line="360" w:lineRule="auto"/>
        <w:jc w:val="left"/>
        <w:rPr>
          <w:rFonts w:ascii="新宋体" w:eastAsia="新宋体" w:hAnsi="新宋体"/>
          <w:bCs w:val="0"/>
          <w:sz w:val="21"/>
          <w:szCs w:val="21"/>
        </w:rPr>
      </w:pPr>
      <w:r w:rsidRPr="00F15852">
        <w:rPr>
          <w:rFonts w:ascii="新宋体" w:eastAsia="新宋体" w:hAnsi="新宋体" w:hint="eastAsia"/>
          <w:bCs w:val="0"/>
          <w:sz w:val="21"/>
          <w:szCs w:val="21"/>
        </w:rPr>
        <w:lastRenderedPageBreak/>
        <w:t>二、技术需求：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798"/>
        <w:gridCol w:w="6661"/>
      </w:tblGrid>
      <w:tr w:rsidR="00F15852" w:rsidRPr="008B3A7D" w:rsidTr="00422D30">
        <w:trPr>
          <w:trHeight w:val="470"/>
        </w:trPr>
        <w:tc>
          <w:tcPr>
            <w:tcW w:w="361" w:type="pc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szCs w:val="21"/>
              </w:rPr>
              <w:t>序号</w:t>
            </w:r>
          </w:p>
        </w:tc>
        <w:tc>
          <w:tcPr>
            <w:tcW w:w="986" w:type="pc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服务内容</w:t>
            </w:r>
          </w:p>
        </w:tc>
        <w:tc>
          <w:tcPr>
            <w:tcW w:w="3653" w:type="pc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szCs w:val="21"/>
              </w:rPr>
              <w:t>技术要求</w:t>
            </w:r>
          </w:p>
        </w:tc>
      </w:tr>
      <w:tr w:rsidR="00F15852" w:rsidRPr="008B3A7D" w:rsidTr="00422D30">
        <w:trPr>
          <w:trHeight w:val="450"/>
        </w:trPr>
        <w:tc>
          <w:tcPr>
            <w:tcW w:w="361"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1</w:t>
            </w:r>
          </w:p>
        </w:tc>
        <w:tc>
          <w:tcPr>
            <w:tcW w:w="986"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预算编制管理</w:t>
            </w: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1.1总体要求：</w:t>
            </w:r>
            <w:r w:rsidRPr="008B3A7D">
              <w:rPr>
                <w:rFonts w:ascii="新宋体" w:eastAsia="新宋体" w:hAnsi="新宋体" w:hint="eastAsia"/>
                <w:szCs w:val="21"/>
              </w:rPr>
              <w:t>项目申报管理、项目调整管理、纳入预算管理、报表管理</w:t>
            </w:r>
          </w:p>
        </w:tc>
      </w:tr>
      <w:tr w:rsidR="00F15852" w:rsidRPr="008B3A7D" w:rsidTr="00422D30">
        <w:trPr>
          <w:trHeight w:val="45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1.2项目申报管理：项目申报把基层单位往年所申报的所有项目全部引用过来，各基层单位根据明年的预算需求挑选往年有的项目明年预算还需要做的项目直接重新申报项目即可，如有新增的项目也可以在此菜单进行新增项目的申报。</w:t>
            </w:r>
          </w:p>
        </w:tc>
      </w:tr>
      <w:tr w:rsidR="00F15852" w:rsidRPr="008B3A7D" w:rsidTr="00422D30">
        <w:trPr>
          <w:trHeight w:val="45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1.3项目调整管理：在预算执行过程中有基层单位有市局安排或者区局有需要临时增加的项目需要追加、调剂项目都通过追加或调剂项目进行申报审核纳入当年的部门预算。</w:t>
            </w:r>
          </w:p>
        </w:tc>
      </w:tr>
      <w:tr w:rsidR="00F15852" w:rsidRPr="008B3A7D" w:rsidTr="00422D30">
        <w:trPr>
          <w:trHeight w:val="9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1.4纳入预算管理：财务处根据各个基层单位所申报的项目在审核无误通过后需要纳入部门预算与基本支出形成该单位当年的所有部门预算支出。在预算过完人大会财委批复以后，所有的项目都要在指标管理里面纳入指标，指标进入报账管理。</w:t>
            </w:r>
          </w:p>
        </w:tc>
      </w:tr>
      <w:tr w:rsidR="00F15852" w:rsidRPr="008B3A7D" w:rsidTr="00422D30">
        <w:trPr>
          <w:trHeight w:val="45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1.5报表管理：项目库报表中有处室业务经费预算表、经济科目支出预算表、预算执行情况表、基本支出预算汇总表；根据不同时期的需求输出相关报表，其中预算执行情况表根据单位当月支出数导出该单位的预算执行情况。</w:t>
            </w:r>
          </w:p>
        </w:tc>
      </w:tr>
      <w:tr w:rsidR="00F15852" w:rsidRPr="008B3A7D" w:rsidTr="00422D30">
        <w:trPr>
          <w:trHeight w:val="450"/>
        </w:trPr>
        <w:tc>
          <w:tcPr>
            <w:tcW w:w="361"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2</w:t>
            </w:r>
          </w:p>
        </w:tc>
        <w:tc>
          <w:tcPr>
            <w:tcW w:w="986"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szCs w:val="21"/>
              </w:rPr>
              <w:t>指标管理</w:t>
            </w: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2</w:t>
            </w:r>
            <w:r w:rsidRPr="008B3A7D">
              <w:rPr>
                <w:rFonts w:ascii="新宋体" w:eastAsia="新宋体" w:hAnsi="新宋体"/>
                <w:szCs w:val="21"/>
              </w:rPr>
              <w:t>.1总体要求：</w:t>
            </w:r>
            <w:r w:rsidRPr="008B3A7D">
              <w:rPr>
                <w:rFonts w:ascii="新宋体" w:eastAsia="新宋体" w:hAnsi="新宋体" w:hint="eastAsia"/>
                <w:szCs w:val="21"/>
              </w:rPr>
              <w:t>指标接受登记；指标调剂；</w:t>
            </w:r>
            <w:r w:rsidRPr="008B3A7D">
              <w:rPr>
                <w:rFonts w:ascii="新宋体" w:eastAsia="新宋体" w:hAnsi="新宋体"/>
                <w:szCs w:val="21"/>
              </w:rPr>
              <w:t>公用指标额度控制</w:t>
            </w:r>
            <w:r w:rsidRPr="008B3A7D">
              <w:rPr>
                <w:rFonts w:ascii="新宋体" w:eastAsia="新宋体" w:hAnsi="新宋体" w:hint="eastAsia"/>
                <w:szCs w:val="21"/>
              </w:rPr>
              <w:t>；季度计划。</w:t>
            </w:r>
          </w:p>
        </w:tc>
      </w:tr>
      <w:tr w:rsidR="00F15852" w:rsidRPr="008B3A7D" w:rsidTr="00422D30">
        <w:trPr>
          <w:trHeight w:val="45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2.2指标接收登记：</w:t>
            </w:r>
            <w:r w:rsidRPr="008B3A7D">
              <w:rPr>
                <w:rFonts w:ascii="新宋体" w:eastAsia="新宋体" w:hAnsi="新宋体"/>
                <w:szCs w:val="21"/>
              </w:rPr>
              <w:t>与预算项目库管理系统的衔接接口，以便实现</w:t>
            </w:r>
            <w:r w:rsidRPr="008B3A7D">
              <w:rPr>
                <w:rFonts w:ascii="新宋体" w:eastAsia="新宋体" w:hAnsi="新宋体" w:hint="eastAsia"/>
                <w:szCs w:val="21"/>
              </w:rPr>
              <w:t>同步</w:t>
            </w:r>
            <w:r w:rsidRPr="008B3A7D">
              <w:rPr>
                <w:rFonts w:ascii="新宋体" w:eastAsia="新宋体" w:hAnsi="新宋体"/>
                <w:szCs w:val="21"/>
              </w:rPr>
              <w:t>预算项目</w:t>
            </w:r>
            <w:r w:rsidRPr="008B3A7D">
              <w:rPr>
                <w:rFonts w:ascii="新宋体" w:eastAsia="新宋体" w:hAnsi="新宋体" w:hint="eastAsia"/>
                <w:szCs w:val="21"/>
              </w:rPr>
              <w:t>库</w:t>
            </w:r>
            <w:r w:rsidRPr="008B3A7D">
              <w:rPr>
                <w:rFonts w:ascii="新宋体" w:eastAsia="新宋体" w:hAnsi="新宋体"/>
                <w:szCs w:val="21"/>
              </w:rPr>
              <w:t>的数据</w:t>
            </w:r>
            <w:r w:rsidRPr="008B3A7D">
              <w:rPr>
                <w:rFonts w:ascii="新宋体" w:eastAsia="新宋体" w:hAnsi="新宋体" w:hint="eastAsia"/>
                <w:szCs w:val="21"/>
              </w:rPr>
              <w:t>，形成指标。</w:t>
            </w:r>
          </w:p>
        </w:tc>
      </w:tr>
      <w:tr w:rsidR="00F15852" w:rsidRPr="008B3A7D" w:rsidTr="00422D30">
        <w:trPr>
          <w:trHeight w:val="45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2</w:t>
            </w:r>
            <w:r w:rsidRPr="008B3A7D">
              <w:rPr>
                <w:rFonts w:ascii="新宋体" w:eastAsia="新宋体" w:hAnsi="新宋体"/>
                <w:szCs w:val="21"/>
              </w:rPr>
              <w:t>.</w:t>
            </w:r>
            <w:r w:rsidRPr="008B3A7D">
              <w:rPr>
                <w:rFonts w:ascii="新宋体" w:eastAsia="新宋体" w:hAnsi="新宋体" w:hint="eastAsia"/>
                <w:szCs w:val="21"/>
              </w:rPr>
              <w:t>3</w:t>
            </w:r>
            <w:r w:rsidRPr="008B3A7D">
              <w:rPr>
                <w:rFonts w:ascii="新宋体" w:eastAsia="新宋体" w:hAnsi="新宋体"/>
                <w:szCs w:val="21"/>
              </w:rPr>
              <w:t>指标调剂：在多个指标间进行指标金额调增调减，所涉及的多个指标的总额不发生变化。</w:t>
            </w:r>
          </w:p>
        </w:tc>
      </w:tr>
      <w:tr w:rsidR="00F15852" w:rsidRPr="008B3A7D" w:rsidTr="00422D30">
        <w:trPr>
          <w:trHeight w:val="45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2</w:t>
            </w:r>
            <w:r w:rsidRPr="008B3A7D">
              <w:rPr>
                <w:rFonts w:ascii="新宋体" w:eastAsia="新宋体" w:hAnsi="新宋体"/>
                <w:szCs w:val="21"/>
              </w:rPr>
              <w:t>.</w:t>
            </w:r>
            <w:r w:rsidRPr="008B3A7D">
              <w:rPr>
                <w:rFonts w:ascii="新宋体" w:eastAsia="新宋体" w:hAnsi="新宋体" w:hint="eastAsia"/>
                <w:szCs w:val="21"/>
              </w:rPr>
              <w:t>4</w:t>
            </w:r>
            <w:r w:rsidRPr="008B3A7D">
              <w:rPr>
                <w:rFonts w:ascii="新宋体" w:eastAsia="新宋体" w:hAnsi="新宋体"/>
                <w:szCs w:val="21"/>
              </w:rPr>
              <w:t>公用指标额度控制：对公用指标进行多个使用部门额度分配控制。</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2</w:t>
            </w:r>
            <w:r w:rsidRPr="008B3A7D">
              <w:rPr>
                <w:rFonts w:ascii="新宋体" w:eastAsia="新宋体" w:hAnsi="新宋体"/>
                <w:szCs w:val="21"/>
              </w:rPr>
              <w:t>.</w:t>
            </w:r>
            <w:r w:rsidRPr="008B3A7D">
              <w:rPr>
                <w:rFonts w:ascii="新宋体" w:eastAsia="新宋体" w:hAnsi="新宋体" w:hint="eastAsia"/>
                <w:szCs w:val="21"/>
              </w:rPr>
              <w:t>5季度计划：指标按季度分解，统计每个季度的资金执行情况。</w:t>
            </w:r>
          </w:p>
        </w:tc>
      </w:tr>
      <w:tr w:rsidR="00F15852" w:rsidRPr="008B3A7D" w:rsidTr="00422D30">
        <w:trPr>
          <w:trHeight w:val="510"/>
        </w:trPr>
        <w:tc>
          <w:tcPr>
            <w:tcW w:w="361"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3</w:t>
            </w:r>
          </w:p>
        </w:tc>
        <w:tc>
          <w:tcPr>
            <w:tcW w:w="986"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szCs w:val="21"/>
              </w:rPr>
              <w:t>报账管理</w:t>
            </w: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3</w:t>
            </w:r>
            <w:r w:rsidRPr="008B3A7D">
              <w:rPr>
                <w:rFonts w:ascii="新宋体" w:eastAsia="新宋体" w:hAnsi="新宋体"/>
                <w:szCs w:val="21"/>
              </w:rPr>
              <w:t>.1总体要求：实现网上报账申请填报，报销审核，报账支付信息传入财务管理系统自动生成记账凭证。报账管理实现规范报账流程、规范报销单使用、</w:t>
            </w:r>
            <w:r w:rsidRPr="008B3A7D">
              <w:rPr>
                <w:rFonts w:ascii="新宋体" w:eastAsia="新宋体" w:hAnsi="新宋体" w:hint="eastAsia"/>
                <w:szCs w:val="21"/>
              </w:rPr>
              <w:t>控制报销费用标准</w:t>
            </w:r>
            <w:r w:rsidRPr="008B3A7D">
              <w:rPr>
                <w:rFonts w:ascii="新宋体" w:eastAsia="新宋体" w:hAnsi="新宋体"/>
                <w:szCs w:val="21"/>
              </w:rPr>
              <w:t>、业务进度实时查询等目标。</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3</w:t>
            </w:r>
            <w:r w:rsidRPr="008B3A7D">
              <w:rPr>
                <w:rFonts w:ascii="新宋体" w:eastAsia="新宋体" w:hAnsi="新宋体"/>
                <w:szCs w:val="21"/>
              </w:rPr>
              <w:t>.2事前申请：事前申请需要确定所用的预算指标及申请额度。事前申请对所用指标额度进行占用，保证在事前环节就实现了对预算指标额度的精准严格控制。</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3</w:t>
            </w:r>
            <w:r w:rsidRPr="008B3A7D">
              <w:rPr>
                <w:rFonts w:ascii="新宋体" w:eastAsia="新宋体" w:hAnsi="新宋体"/>
                <w:szCs w:val="21"/>
              </w:rPr>
              <w:t>.3借款申请：借款申请需要确定所对应的事前申请，借款总金额不能超出事前申请额度。</w:t>
            </w:r>
          </w:p>
        </w:tc>
      </w:tr>
      <w:tr w:rsidR="00F15852" w:rsidRPr="008B3A7D" w:rsidTr="00422D30">
        <w:trPr>
          <w:trHeight w:val="274"/>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3</w:t>
            </w:r>
            <w:r w:rsidRPr="008B3A7D">
              <w:rPr>
                <w:rFonts w:ascii="新宋体" w:eastAsia="新宋体" w:hAnsi="新宋体"/>
                <w:szCs w:val="21"/>
              </w:rPr>
              <w:t>.4报账申请：报账申请需要确定所对应的预算指标或事前申请，填报用途、金额等。</w:t>
            </w:r>
          </w:p>
          <w:p w:rsidR="00F15852" w:rsidRPr="008B3A7D" w:rsidRDefault="00F15852" w:rsidP="00422D30">
            <w:pPr>
              <w:rPr>
                <w:rFonts w:ascii="新宋体" w:eastAsia="新宋体" w:hAnsi="新宋体"/>
                <w:szCs w:val="21"/>
              </w:rPr>
            </w:pPr>
            <w:r w:rsidRPr="008B3A7D">
              <w:rPr>
                <w:rFonts w:ascii="新宋体" w:eastAsia="新宋体" w:hAnsi="新宋体"/>
                <w:szCs w:val="21"/>
              </w:rPr>
              <w:t>支持</w:t>
            </w:r>
            <w:r w:rsidRPr="008B3A7D">
              <w:rPr>
                <w:rFonts w:ascii="新宋体" w:eastAsia="新宋体" w:hAnsi="新宋体" w:hint="eastAsia"/>
                <w:szCs w:val="21"/>
              </w:rPr>
              <w:t>场景化报销：</w:t>
            </w:r>
            <w:r w:rsidRPr="008B3A7D">
              <w:rPr>
                <w:rFonts w:ascii="新宋体" w:eastAsia="新宋体" w:hAnsi="新宋体"/>
                <w:szCs w:val="21"/>
              </w:rPr>
              <w:t>一般经费、会议费、培训费、公务接待费、差旅费等多种报销单。报销单据支持电子发票识别，避免电子发票重复使用。</w:t>
            </w:r>
            <w:r w:rsidRPr="008B3A7D">
              <w:rPr>
                <w:rFonts w:ascii="新宋体" w:eastAsia="新宋体" w:hAnsi="新宋体" w:hint="eastAsia"/>
                <w:szCs w:val="21"/>
              </w:rPr>
              <w:t>可监督报销费用是否符合业务的标准，如有超标准有提醒功能，能够查看各类业务的报销标准。</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3</w:t>
            </w:r>
            <w:r w:rsidRPr="008B3A7D">
              <w:rPr>
                <w:rFonts w:ascii="新宋体" w:eastAsia="新宋体" w:hAnsi="新宋体"/>
                <w:szCs w:val="21"/>
              </w:rPr>
              <w:t>.5单据审核：单据审核时按照预先设定好的审批流程自动送达相应的审批人员。支持自定义审批流程。</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▲3.6</w:t>
            </w:r>
            <w:r w:rsidRPr="008B3A7D">
              <w:rPr>
                <w:rFonts w:ascii="新宋体" w:eastAsia="新宋体" w:hAnsi="新宋体" w:hint="eastAsia"/>
                <w:szCs w:val="21"/>
              </w:rPr>
              <w:t>公示信息统计：如食堂采购费用、三公经费、差旅费、培训费、会议费等信息的统计。</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3</w:t>
            </w:r>
            <w:r w:rsidRPr="008B3A7D">
              <w:rPr>
                <w:rFonts w:ascii="新宋体" w:eastAsia="新宋体" w:hAnsi="新宋体"/>
                <w:szCs w:val="21"/>
              </w:rPr>
              <w:t>.</w:t>
            </w:r>
            <w:r w:rsidRPr="008B3A7D">
              <w:rPr>
                <w:rFonts w:ascii="新宋体" w:eastAsia="新宋体" w:hAnsi="新宋体" w:hint="eastAsia"/>
                <w:szCs w:val="21"/>
              </w:rPr>
              <w:t>7报账支付：</w:t>
            </w:r>
            <w:r w:rsidRPr="008B3A7D">
              <w:rPr>
                <w:rFonts w:ascii="新宋体" w:eastAsia="新宋体" w:hAnsi="新宋体"/>
                <w:szCs w:val="21"/>
              </w:rPr>
              <w:t>根据金财国库支付系统所提供接口，将报账数据上传金财国库支付系统以完成报账支付。</w:t>
            </w:r>
            <w:r w:rsidRPr="008B3A7D">
              <w:rPr>
                <w:rFonts w:ascii="新宋体" w:eastAsia="新宋体" w:hAnsi="新宋体" w:hint="eastAsia"/>
                <w:szCs w:val="21"/>
              </w:rPr>
              <w:t>支付完成之后自动生成出纳银行日记账。</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3</w:t>
            </w:r>
            <w:r w:rsidRPr="008B3A7D">
              <w:rPr>
                <w:rFonts w:ascii="新宋体" w:eastAsia="新宋体" w:hAnsi="新宋体"/>
                <w:szCs w:val="21"/>
              </w:rPr>
              <w:t>.</w:t>
            </w:r>
            <w:r w:rsidRPr="008B3A7D">
              <w:rPr>
                <w:rFonts w:ascii="新宋体" w:eastAsia="新宋体" w:hAnsi="新宋体" w:hint="eastAsia"/>
                <w:szCs w:val="21"/>
              </w:rPr>
              <w:t>8报账自动生成凭证：根据报账数据，自动生成双分录凭证。</w:t>
            </w:r>
          </w:p>
        </w:tc>
      </w:tr>
      <w:tr w:rsidR="00F15852" w:rsidRPr="008B3A7D" w:rsidTr="00422D30">
        <w:trPr>
          <w:trHeight w:val="510"/>
        </w:trPr>
        <w:tc>
          <w:tcPr>
            <w:tcW w:w="361"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4</w:t>
            </w:r>
          </w:p>
        </w:tc>
        <w:tc>
          <w:tcPr>
            <w:tcW w:w="986"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核算管理</w:t>
            </w: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4</w:t>
            </w:r>
            <w:r w:rsidRPr="008B3A7D">
              <w:rPr>
                <w:rFonts w:ascii="新宋体" w:eastAsia="新宋体" w:hAnsi="新宋体"/>
                <w:szCs w:val="21"/>
              </w:rPr>
              <w:t>.1</w:t>
            </w:r>
            <w:r w:rsidRPr="008B3A7D">
              <w:rPr>
                <w:rFonts w:ascii="新宋体" w:eastAsia="新宋体" w:hAnsi="新宋体" w:hint="eastAsia"/>
                <w:szCs w:val="21"/>
              </w:rPr>
              <w:t>账务管理需要通过对会计科目、预算科目以及各辅助核算项的基础资料的管理，日常财务工作中的会计凭证的录入、审核、记账结账处理、账簿查询和打印，达到完整的财务核算的要求及基本的财务辅助控制目标，并实现各种财务报告的查询，满足税务局财务管理及分析的需要。</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▲4.2</w:t>
            </w:r>
            <w:r w:rsidRPr="008B3A7D">
              <w:rPr>
                <w:rFonts w:ascii="新宋体" w:eastAsia="新宋体" w:hAnsi="新宋体" w:hint="eastAsia"/>
                <w:szCs w:val="21"/>
              </w:rPr>
              <w:t>系统除可进行日常发生的收支凭证处理、银行对账等管理外，还需要实现与部门决算、固定资产等其他系统模块无缝连接，实现其他系统发生业务的凭证处理和记账工作。</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▲4.3</w:t>
            </w:r>
            <w:r w:rsidRPr="008B3A7D">
              <w:rPr>
                <w:rFonts w:ascii="新宋体" w:eastAsia="新宋体" w:hAnsi="新宋体" w:hint="eastAsia"/>
                <w:szCs w:val="21"/>
              </w:rPr>
              <w:t>多账套数据查询，可根据单位需求，自由组合查询条件，实现多维度查询统计，也可汇总查询各下属单位的余额表和明细账。</w:t>
            </w:r>
          </w:p>
        </w:tc>
      </w:tr>
      <w:tr w:rsidR="00F15852" w:rsidRPr="008B3A7D" w:rsidTr="00422D30">
        <w:trPr>
          <w:trHeight w:val="510"/>
        </w:trPr>
        <w:tc>
          <w:tcPr>
            <w:tcW w:w="361"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5</w:t>
            </w:r>
          </w:p>
        </w:tc>
        <w:tc>
          <w:tcPr>
            <w:tcW w:w="986"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统计分析</w:t>
            </w: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hint="eastAsia"/>
                <w:szCs w:val="21"/>
              </w:rPr>
              <w:t>5.</w:t>
            </w:r>
            <w:r w:rsidRPr="008B3A7D">
              <w:rPr>
                <w:rFonts w:ascii="新宋体" w:eastAsia="新宋体" w:hAnsi="新宋体"/>
                <w:szCs w:val="21"/>
              </w:rPr>
              <w:t>1总体要求：</w:t>
            </w:r>
            <w:r w:rsidRPr="008B3A7D">
              <w:rPr>
                <w:rFonts w:ascii="新宋体" w:eastAsia="新宋体" w:hAnsi="新宋体" w:hint="eastAsia"/>
                <w:szCs w:val="21"/>
              </w:rPr>
              <w:t>预算执行情况表统计、资产负债分析、支付情况分析、综合业务分析。</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5</w:t>
            </w:r>
            <w:r w:rsidRPr="008B3A7D">
              <w:rPr>
                <w:rFonts w:ascii="新宋体" w:eastAsia="新宋体" w:hAnsi="新宋体"/>
                <w:szCs w:val="21"/>
              </w:rPr>
              <w:t>.</w:t>
            </w:r>
            <w:r w:rsidRPr="008B3A7D">
              <w:rPr>
                <w:rFonts w:ascii="新宋体" w:eastAsia="新宋体" w:hAnsi="新宋体" w:hint="eastAsia"/>
                <w:szCs w:val="21"/>
              </w:rPr>
              <w:t>2预算执行情况表统计：根据预算支出数，可以钻取、联查报销单据和凭证。</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5</w:t>
            </w:r>
            <w:r w:rsidRPr="008B3A7D">
              <w:rPr>
                <w:rFonts w:ascii="新宋体" w:eastAsia="新宋体" w:hAnsi="新宋体"/>
                <w:szCs w:val="21"/>
              </w:rPr>
              <w:t>.</w:t>
            </w:r>
            <w:r w:rsidRPr="008B3A7D">
              <w:rPr>
                <w:rFonts w:ascii="新宋体" w:eastAsia="新宋体" w:hAnsi="新宋体" w:hint="eastAsia"/>
                <w:szCs w:val="21"/>
              </w:rPr>
              <w:t>3数据分析：数据图表化，领导更直观查看数据，实现对各下属单位数据分析对比。</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5</w:t>
            </w:r>
            <w:r w:rsidRPr="008B3A7D">
              <w:rPr>
                <w:rFonts w:ascii="新宋体" w:eastAsia="新宋体" w:hAnsi="新宋体"/>
                <w:szCs w:val="21"/>
              </w:rPr>
              <w:t>.</w:t>
            </w:r>
            <w:r w:rsidRPr="008B3A7D">
              <w:rPr>
                <w:rFonts w:ascii="新宋体" w:eastAsia="新宋体" w:hAnsi="新宋体" w:hint="eastAsia"/>
                <w:szCs w:val="21"/>
              </w:rPr>
              <w:t>3财务分析报告：可自动生成，具有图表、文字分析说明等。</w:t>
            </w:r>
          </w:p>
        </w:tc>
      </w:tr>
      <w:tr w:rsidR="00F15852" w:rsidRPr="008B3A7D" w:rsidTr="00422D30">
        <w:trPr>
          <w:trHeight w:val="510"/>
        </w:trPr>
        <w:tc>
          <w:tcPr>
            <w:tcW w:w="361"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6</w:t>
            </w:r>
          </w:p>
        </w:tc>
        <w:tc>
          <w:tcPr>
            <w:tcW w:w="986" w:type="pct"/>
            <w:vMerge w:val="restar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报表管理</w:t>
            </w:r>
          </w:p>
        </w:tc>
        <w:tc>
          <w:tcPr>
            <w:tcW w:w="3653" w:type="pct"/>
            <w:vAlign w:val="center"/>
          </w:tcPr>
          <w:p w:rsidR="00F15852" w:rsidRPr="008B3A7D" w:rsidRDefault="00F15852" w:rsidP="00422D30">
            <w:pPr>
              <w:adjustRightInd w:val="0"/>
              <w:rPr>
                <w:rFonts w:ascii="新宋体" w:eastAsia="新宋体" w:hAnsi="新宋体"/>
                <w:szCs w:val="21"/>
              </w:rPr>
            </w:pPr>
            <w:r w:rsidRPr="008B3A7D">
              <w:rPr>
                <w:rFonts w:ascii="新宋体" w:eastAsia="新宋体" w:hAnsi="新宋体" w:hint="eastAsia"/>
                <w:szCs w:val="21"/>
              </w:rPr>
              <w:t>6.1</w:t>
            </w:r>
            <w:r w:rsidRPr="008B3A7D">
              <w:rPr>
                <w:rFonts w:ascii="新宋体" w:eastAsia="新宋体" w:hAnsi="新宋体"/>
                <w:szCs w:val="21"/>
              </w:rPr>
              <w:t>总体要求：</w:t>
            </w:r>
            <w:r w:rsidRPr="008B3A7D">
              <w:rPr>
                <w:rFonts w:ascii="新宋体" w:eastAsia="新宋体" w:hAnsi="新宋体" w:hint="eastAsia"/>
                <w:szCs w:val="21"/>
              </w:rPr>
              <w:t>财务报表、决算报表。</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adjustRightInd w:val="0"/>
              <w:rPr>
                <w:rFonts w:ascii="新宋体" w:eastAsia="新宋体" w:hAnsi="新宋体"/>
                <w:szCs w:val="21"/>
              </w:rPr>
            </w:pPr>
            <w:r w:rsidRPr="008B3A7D">
              <w:rPr>
                <w:rFonts w:ascii="新宋体" w:eastAsia="新宋体" w:hAnsi="新宋体" w:hint="eastAsia"/>
                <w:szCs w:val="21"/>
              </w:rPr>
              <w:t>6.2财务报表：根据财务报表的规定，设置好自定义报表，根据函数公式，读取凭证数据，自动生成相关财务表。</w:t>
            </w:r>
          </w:p>
        </w:tc>
      </w:tr>
      <w:tr w:rsidR="00F15852" w:rsidRPr="008B3A7D" w:rsidTr="00422D30">
        <w:trPr>
          <w:trHeight w:val="510"/>
        </w:trPr>
        <w:tc>
          <w:tcPr>
            <w:tcW w:w="361" w:type="pct"/>
            <w:vMerge/>
            <w:vAlign w:val="center"/>
          </w:tcPr>
          <w:p w:rsidR="00F15852" w:rsidRPr="008B3A7D" w:rsidRDefault="00F15852" w:rsidP="00422D30">
            <w:pPr>
              <w:jc w:val="center"/>
              <w:rPr>
                <w:rFonts w:ascii="新宋体" w:eastAsia="新宋体" w:hAnsi="新宋体"/>
                <w:szCs w:val="21"/>
              </w:rPr>
            </w:pPr>
          </w:p>
        </w:tc>
        <w:tc>
          <w:tcPr>
            <w:tcW w:w="986" w:type="pct"/>
            <w:vMerge/>
            <w:vAlign w:val="center"/>
          </w:tcPr>
          <w:p w:rsidR="00F15852" w:rsidRPr="008B3A7D" w:rsidRDefault="00F15852" w:rsidP="00422D30">
            <w:pPr>
              <w:jc w:val="center"/>
              <w:rPr>
                <w:rFonts w:ascii="新宋体" w:eastAsia="新宋体" w:hAnsi="新宋体"/>
                <w:szCs w:val="21"/>
              </w:rPr>
            </w:pP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w:t>
            </w:r>
            <w:r w:rsidRPr="008B3A7D">
              <w:rPr>
                <w:rFonts w:ascii="新宋体" w:eastAsia="新宋体" w:hAnsi="新宋体" w:hint="eastAsia"/>
                <w:szCs w:val="21"/>
              </w:rPr>
              <w:t>6.3决算报表：自动生成决算报表，实现和决算系统数据对接。</w:t>
            </w:r>
          </w:p>
        </w:tc>
      </w:tr>
      <w:tr w:rsidR="00F15852" w:rsidRPr="008B3A7D" w:rsidTr="00422D30">
        <w:trPr>
          <w:trHeight w:val="510"/>
        </w:trPr>
        <w:tc>
          <w:tcPr>
            <w:tcW w:w="361" w:type="pc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7</w:t>
            </w:r>
          </w:p>
        </w:tc>
        <w:tc>
          <w:tcPr>
            <w:tcW w:w="986" w:type="pct"/>
            <w:vAlign w:val="center"/>
          </w:tcPr>
          <w:p w:rsidR="00F15852" w:rsidRPr="008B3A7D" w:rsidRDefault="00F15852" w:rsidP="00422D30">
            <w:pPr>
              <w:jc w:val="center"/>
              <w:rPr>
                <w:rFonts w:ascii="新宋体" w:eastAsia="新宋体" w:hAnsi="新宋体"/>
                <w:szCs w:val="21"/>
              </w:rPr>
            </w:pPr>
            <w:r w:rsidRPr="008B3A7D">
              <w:rPr>
                <w:rFonts w:ascii="新宋体" w:eastAsia="新宋体" w:hAnsi="新宋体" w:hint="eastAsia"/>
                <w:szCs w:val="21"/>
              </w:rPr>
              <w:t>文库管理</w:t>
            </w:r>
          </w:p>
        </w:tc>
        <w:tc>
          <w:tcPr>
            <w:tcW w:w="3653" w:type="pct"/>
            <w:vAlign w:val="center"/>
          </w:tcPr>
          <w:p w:rsidR="00F15852" w:rsidRPr="008B3A7D" w:rsidRDefault="00F15852" w:rsidP="00422D30">
            <w:pPr>
              <w:rPr>
                <w:rFonts w:ascii="新宋体" w:eastAsia="新宋体" w:hAnsi="新宋体"/>
                <w:szCs w:val="21"/>
              </w:rPr>
            </w:pPr>
            <w:r w:rsidRPr="008B3A7D">
              <w:rPr>
                <w:rFonts w:ascii="新宋体" w:eastAsia="新宋体" w:hAnsi="新宋体"/>
                <w:szCs w:val="21"/>
              </w:rPr>
              <w:t>▲实现资料的归档，方便资料的调阅查询，减少资料的后期物理接触，利于凭证资料的保存及安全。借档管理、归档查询等业务功能。</w:t>
            </w:r>
          </w:p>
        </w:tc>
      </w:tr>
    </w:tbl>
    <w:p w:rsidR="00334309" w:rsidRDefault="00334309" w:rsidP="00334309">
      <w:pPr>
        <w:spacing w:line="360" w:lineRule="auto"/>
        <w:rPr>
          <w:rFonts w:ascii="新宋体" w:eastAsia="新宋体" w:hAnsi="新宋体"/>
          <w:b/>
          <w:szCs w:val="21"/>
        </w:rPr>
      </w:pPr>
      <w:r>
        <w:rPr>
          <w:rFonts w:ascii="新宋体" w:eastAsia="新宋体" w:hAnsi="新宋体" w:hint="eastAsia"/>
          <w:b/>
          <w:szCs w:val="21"/>
        </w:rPr>
        <w:t>关键需求指标：</w:t>
      </w:r>
    </w:p>
    <w:p w:rsidR="00334309" w:rsidRDefault="00334309" w:rsidP="00334309">
      <w:pPr>
        <w:pStyle w:val="1"/>
        <w:keepLines w:val="0"/>
        <w:numPr>
          <w:ilvl w:val="0"/>
          <w:numId w:val="25"/>
        </w:numPr>
        <w:tabs>
          <w:tab w:val="left" w:pos="0"/>
        </w:tabs>
        <w:autoSpaceDE w:val="0"/>
        <w:autoSpaceDN w:val="0"/>
        <w:adjustRightInd w:val="0"/>
        <w:spacing w:before="0" w:after="0" w:line="360" w:lineRule="auto"/>
        <w:jc w:val="left"/>
        <w:rPr>
          <w:rFonts w:ascii="新宋体" w:eastAsia="新宋体" w:hAnsi="新宋体"/>
          <w:sz w:val="21"/>
          <w:szCs w:val="21"/>
        </w:rPr>
      </w:pPr>
      <w:r>
        <w:rPr>
          <w:rFonts w:ascii="新宋体" w:eastAsia="新宋体" w:hAnsi="新宋体" w:hint="eastAsia"/>
          <w:sz w:val="21"/>
          <w:szCs w:val="21"/>
        </w:rPr>
        <w:t>商务需求：</w:t>
      </w:r>
    </w:p>
    <w:p w:rsidR="00334309" w:rsidRDefault="00334309" w:rsidP="00334309">
      <w:pPr>
        <w:pStyle w:val="3"/>
        <w:numPr>
          <w:ilvl w:val="0"/>
          <w:numId w:val="22"/>
        </w:numPr>
        <w:spacing w:line="400" w:lineRule="exact"/>
        <w:rPr>
          <w:rFonts w:ascii="新宋体" w:eastAsia="新宋体" w:hAnsi="新宋体"/>
          <w:sz w:val="21"/>
          <w:szCs w:val="21"/>
        </w:rPr>
      </w:pPr>
      <w:r>
        <w:rPr>
          <w:rFonts w:ascii="新宋体" w:eastAsia="新宋体" w:hAnsi="新宋体" w:hint="eastAsia"/>
          <w:sz w:val="21"/>
          <w:szCs w:val="21"/>
        </w:rPr>
        <w:t>招标范围</w:t>
      </w:r>
    </w:p>
    <w:p w:rsidR="00334309" w:rsidRDefault="00334309" w:rsidP="00334309">
      <w:pPr>
        <w:ind w:firstLineChars="200" w:firstLine="420"/>
        <w:jc w:val="left"/>
        <w:rPr>
          <w:rFonts w:ascii="新宋体" w:eastAsia="新宋体" w:hAnsi="新宋体"/>
          <w:szCs w:val="21"/>
        </w:rPr>
      </w:pPr>
      <w:r>
        <w:rPr>
          <w:rFonts w:ascii="新宋体" w:eastAsia="新宋体" w:hAnsi="新宋体" w:hint="eastAsia"/>
          <w:szCs w:val="21"/>
        </w:rPr>
        <w:t>本次升级改造深圳市税务局现有财务管理系统，包括一年维护期内各业务模块的bug修改、安装调试、现场管理、配合相关系统试运行维护、测试验收、技术培训。并提供对原有财务管理业务系统相关模块的一年期的运行维护。</w:t>
      </w:r>
    </w:p>
    <w:p w:rsidR="00334309" w:rsidRDefault="00334309" w:rsidP="00334309">
      <w:pPr>
        <w:ind w:firstLineChars="200" w:firstLine="420"/>
        <w:jc w:val="left"/>
        <w:rPr>
          <w:rFonts w:ascii="新宋体" w:eastAsia="新宋体" w:hAnsi="新宋体"/>
          <w:szCs w:val="21"/>
        </w:rPr>
      </w:pPr>
      <w:r>
        <w:rPr>
          <w:rFonts w:ascii="新宋体" w:eastAsia="新宋体" w:hAnsi="新宋体" w:hint="eastAsia"/>
          <w:szCs w:val="21"/>
        </w:rPr>
        <w:t>升级后，须在现有系统基础上，实现与国家税务总局财务核算系统接口，与部门决算系统无缝衔接，达到预算、报账、财务核算、决算、财务相关文库管理等业务一体化运作。</w:t>
      </w:r>
    </w:p>
    <w:p w:rsidR="00334309" w:rsidRDefault="00334309" w:rsidP="00334309">
      <w:pPr>
        <w:pStyle w:val="3"/>
        <w:numPr>
          <w:ilvl w:val="0"/>
          <w:numId w:val="22"/>
        </w:numPr>
        <w:spacing w:line="400" w:lineRule="exact"/>
        <w:rPr>
          <w:rFonts w:ascii="新宋体" w:eastAsia="新宋体" w:hAnsi="新宋体"/>
          <w:bCs w:val="0"/>
          <w:sz w:val="21"/>
          <w:szCs w:val="21"/>
        </w:rPr>
      </w:pPr>
      <w:r>
        <w:rPr>
          <w:rFonts w:ascii="新宋体" w:eastAsia="新宋体" w:hAnsi="新宋体" w:hint="eastAsia"/>
          <w:bCs w:val="0"/>
          <w:sz w:val="21"/>
          <w:szCs w:val="21"/>
        </w:rPr>
        <w:lastRenderedPageBreak/>
        <w:t>建设工期</w:t>
      </w:r>
      <w:r>
        <w:rPr>
          <w:rFonts w:ascii="新宋体" w:eastAsia="新宋体" w:hAnsi="新宋体"/>
          <w:bCs w:val="0"/>
          <w:sz w:val="21"/>
          <w:szCs w:val="21"/>
        </w:rPr>
        <w:t>：</w:t>
      </w:r>
    </w:p>
    <w:p w:rsidR="00334309" w:rsidRDefault="00334309" w:rsidP="00334309">
      <w:pPr>
        <w:ind w:firstLineChars="200" w:firstLine="420"/>
        <w:jc w:val="left"/>
        <w:rPr>
          <w:rFonts w:ascii="新宋体" w:eastAsia="新宋体" w:hAnsi="新宋体"/>
          <w:szCs w:val="21"/>
        </w:rPr>
      </w:pPr>
      <w:r>
        <w:rPr>
          <w:rFonts w:ascii="新宋体" w:eastAsia="新宋体" w:hAnsi="新宋体" w:hint="eastAsia"/>
          <w:szCs w:val="21"/>
        </w:rPr>
        <w:t>合同签订且审批通过后</w:t>
      </w:r>
      <w:r>
        <w:rPr>
          <w:rFonts w:ascii="新宋体" w:eastAsia="新宋体" w:hAnsi="新宋体"/>
          <w:szCs w:val="21"/>
        </w:rPr>
        <w:t>45</w:t>
      </w:r>
      <w:r>
        <w:rPr>
          <w:rFonts w:ascii="新宋体" w:eastAsia="新宋体" w:hAnsi="新宋体" w:hint="eastAsia"/>
          <w:szCs w:val="21"/>
        </w:rPr>
        <w:t>个日历日内完成服务。</w:t>
      </w:r>
    </w:p>
    <w:p w:rsidR="00334309" w:rsidRDefault="00334309" w:rsidP="00334309">
      <w:pPr>
        <w:ind w:firstLineChars="200" w:firstLine="420"/>
        <w:jc w:val="left"/>
        <w:rPr>
          <w:rFonts w:ascii="新宋体" w:eastAsia="新宋体" w:hAnsi="新宋体"/>
          <w:szCs w:val="21"/>
        </w:rPr>
      </w:pPr>
      <w:r>
        <w:rPr>
          <w:rFonts w:ascii="新宋体" w:eastAsia="新宋体" w:hAnsi="新宋体" w:hint="eastAsia"/>
          <w:szCs w:val="21"/>
        </w:rPr>
        <w:t>服务产品的附件、备品备件及专用工具应随产品一同交付（如果服务过程中出现特殊情况的，服务期经双方协商后可以顺延）。</w:t>
      </w:r>
    </w:p>
    <w:p w:rsidR="00334309" w:rsidRDefault="00334309" w:rsidP="00334309">
      <w:pPr>
        <w:pStyle w:val="3"/>
        <w:numPr>
          <w:ilvl w:val="0"/>
          <w:numId w:val="22"/>
        </w:numPr>
        <w:spacing w:line="400" w:lineRule="exact"/>
        <w:rPr>
          <w:rFonts w:ascii="新宋体" w:eastAsia="新宋体" w:hAnsi="新宋体"/>
          <w:bCs w:val="0"/>
          <w:sz w:val="21"/>
          <w:szCs w:val="21"/>
        </w:rPr>
      </w:pPr>
      <w:r>
        <w:rPr>
          <w:rFonts w:ascii="新宋体" w:eastAsia="新宋体" w:hAnsi="新宋体" w:hint="eastAsia"/>
          <w:bCs w:val="0"/>
          <w:sz w:val="21"/>
          <w:szCs w:val="21"/>
        </w:rPr>
        <w:t>质量保证期及问题处理：</w:t>
      </w:r>
    </w:p>
    <w:p w:rsidR="00334309" w:rsidRDefault="00334309" w:rsidP="00334309">
      <w:pPr>
        <w:numPr>
          <w:ilvl w:val="0"/>
          <w:numId w:val="21"/>
        </w:numPr>
        <w:tabs>
          <w:tab w:val="clear" w:pos="1440"/>
        </w:tabs>
        <w:spacing w:line="400" w:lineRule="exact"/>
        <w:ind w:left="0" w:firstLine="0"/>
        <w:rPr>
          <w:rFonts w:ascii="新宋体" w:eastAsia="新宋体" w:hAnsi="新宋体"/>
          <w:szCs w:val="21"/>
        </w:rPr>
      </w:pPr>
      <w:r>
        <w:rPr>
          <w:rFonts w:ascii="新宋体" w:eastAsia="新宋体" w:hAnsi="新宋体" w:hint="eastAsia"/>
          <w:szCs w:val="21"/>
        </w:rPr>
        <w:t>自验收合格（以技术验收合格签字为标准）之日起，中标人向采购人提供1年升级改造部分系统的运行维护服务。</w:t>
      </w:r>
    </w:p>
    <w:p w:rsidR="00334309" w:rsidRDefault="00334309" w:rsidP="00334309">
      <w:pPr>
        <w:numPr>
          <w:ilvl w:val="0"/>
          <w:numId w:val="21"/>
        </w:numPr>
        <w:tabs>
          <w:tab w:val="clear" w:pos="1440"/>
        </w:tabs>
        <w:spacing w:line="400" w:lineRule="exact"/>
        <w:ind w:left="0" w:firstLine="0"/>
        <w:rPr>
          <w:rFonts w:ascii="新宋体" w:eastAsia="新宋体" w:hAnsi="新宋体"/>
          <w:szCs w:val="21"/>
        </w:rPr>
      </w:pPr>
      <w:r>
        <w:rPr>
          <w:rFonts w:ascii="新宋体" w:eastAsia="新宋体" w:hAnsi="新宋体" w:hint="eastAsia"/>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10日内没有弥补缺陷，采购人可自行采取必要的补救措施，但风险和费用由中标人承担，采购人同时保留通过法律途径进行索赔的权利。</w:t>
      </w:r>
    </w:p>
    <w:p w:rsidR="00334309" w:rsidRDefault="00334309" w:rsidP="00334309">
      <w:pPr>
        <w:pStyle w:val="3"/>
        <w:numPr>
          <w:ilvl w:val="0"/>
          <w:numId w:val="22"/>
        </w:numPr>
        <w:spacing w:line="400" w:lineRule="exact"/>
        <w:rPr>
          <w:rFonts w:ascii="新宋体" w:eastAsia="新宋体" w:hAnsi="新宋体"/>
          <w:bCs w:val="0"/>
          <w:sz w:val="21"/>
          <w:szCs w:val="21"/>
        </w:rPr>
      </w:pPr>
      <w:r>
        <w:rPr>
          <w:rFonts w:ascii="新宋体" w:eastAsia="新宋体" w:hAnsi="新宋体" w:hint="eastAsia"/>
          <w:bCs w:val="0"/>
          <w:sz w:val="21"/>
          <w:szCs w:val="21"/>
        </w:rPr>
        <w:t>售后服务需求：</w:t>
      </w:r>
    </w:p>
    <w:p w:rsidR="00334309" w:rsidRDefault="00334309" w:rsidP="00334309">
      <w:pPr>
        <w:numPr>
          <w:ilvl w:val="0"/>
          <w:numId w:val="23"/>
        </w:numPr>
        <w:tabs>
          <w:tab w:val="clear" w:pos="1440"/>
        </w:tabs>
        <w:spacing w:line="400" w:lineRule="exact"/>
        <w:ind w:left="0" w:firstLine="0"/>
        <w:rPr>
          <w:rFonts w:ascii="新宋体" w:eastAsia="新宋体" w:hAnsi="新宋体"/>
          <w:szCs w:val="21"/>
        </w:rPr>
      </w:pPr>
      <w:r>
        <w:rPr>
          <w:rFonts w:ascii="新宋体" w:eastAsia="新宋体" w:hAnsi="新宋体" w:hint="eastAsia"/>
          <w:szCs w:val="21"/>
        </w:rPr>
        <w:t>质保期内，中标人将向采购人提供优质的售后技术支持服务，开通2</w:t>
      </w:r>
      <w:r>
        <w:rPr>
          <w:rFonts w:ascii="新宋体" w:eastAsia="新宋体" w:hAnsi="新宋体"/>
          <w:szCs w:val="21"/>
        </w:rPr>
        <w:t>4</w:t>
      </w:r>
      <w:r>
        <w:rPr>
          <w:rFonts w:ascii="新宋体" w:eastAsia="新宋体" w:hAnsi="新宋体" w:hint="eastAsia"/>
          <w:szCs w:val="21"/>
        </w:rPr>
        <w:t>小时热线电话接受采购人的电话技术咨询，响应时间在2小时内；如故障不能排除，中标人应在2日内提供现场服务，待产品运行正常后撤离现场。</w:t>
      </w:r>
    </w:p>
    <w:p w:rsidR="00334309" w:rsidRDefault="00334309" w:rsidP="00334309">
      <w:pPr>
        <w:numPr>
          <w:ilvl w:val="0"/>
          <w:numId w:val="23"/>
        </w:numPr>
        <w:tabs>
          <w:tab w:val="clear" w:pos="1440"/>
        </w:tabs>
        <w:spacing w:line="400" w:lineRule="exact"/>
        <w:ind w:left="0" w:firstLine="0"/>
        <w:rPr>
          <w:rFonts w:ascii="新宋体" w:eastAsia="新宋体" w:hAnsi="新宋体"/>
          <w:szCs w:val="21"/>
        </w:rPr>
      </w:pPr>
      <w:r>
        <w:rPr>
          <w:rFonts w:ascii="新宋体" w:eastAsia="新宋体" w:hAnsi="新宋体" w:hint="eastAsia"/>
          <w:szCs w:val="21"/>
        </w:rPr>
        <w:t>中标人应定期对产品进行预维护保养，以防患于未然。在整个产品运行过程中，中标人帮助采购人解决在应用过程中遇到的各种技术问题。</w:t>
      </w:r>
    </w:p>
    <w:p w:rsidR="00334309" w:rsidRDefault="00334309" w:rsidP="00334309">
      <w:pPr>
        <w:pStyle w:val="3"/>
        <w:numPr>
          <w:ilvl w:val="0"/>
          <w:numId w:val="22"/>
        </w:numPr>
        <w:spacing w:line="400" w:lineRule="exact"/>
        <w:rPr>
          <w:rFonts w:ascii="新宋体" w:eastAsia="新宋体" w:hAnsi="新宋体"/>
          <w:bCs w:val="0"/>
          <w:sz w:val="21"/>
          <w:szCs w:val="21"/>
        </w:rPr>
      </w:pPr>
      <w:r>
        <w:rPr>
          <w:rFonts w:ascii="新宋体" w:eastAsia="新宋体" w:hAnsi="新宋体" w:hint="eastAsia"/>
          <w:bCs w:val="0"/>
          <w:sz w:val="21"/>
          <w:szCs w:val="21"/>
        </w:rPr>
        <w:t>技术培训：</w:t>
      </w:r>
    </w:p>
    <w:p w:rsidR="00334309" w:rsidRDefault="00334309" w:rsidP="00334309">
      <w:pPr>
        <w:spacing w:line="400" w:lineRule="exact"/>
        <w:ind w:firstLineChars="200" w:firstLine="420"/>
        <w:rPr>
          <w:rFonts w:ascii="新宋体" w:eastAsia="新宋体" w:hAnsi="新宋体"/>
          <w:szCs w:val="21"/>
        </w:rPr>
      </w:pPr>
      <w:r>
        <w:rPr>
          <w:rFonts w:ascii="新宋体" w:eastAsia="新宋体" w:hAnsi="新宋体" w:hint="eastAsia"/>
          <w:szCs w:val="21"/>
        </w:rPr>
        <w:t>中标人提供详细技术资料并免费按采购人要求进行技术培训。培训的内容及方案应由双方协商制定。中标人前来进行技术培训人员的费用包括在合同总价中。</w:t>
      </w:r>
    </w:p>
    <w:p w:rsidR="00334309" w:rsidRDefault="00334309" w:rsidP="00334309">
      <w:pPr>
        <w:pStyle w:val="3"/>
        <w:numPr>
          <w:ilvl w:val="0"/>
          <w:numId w:val="22"/>
        </w:numPr>
        <w:spacing w:line="400" w:lineRule="exact"/>
        <w:rPr>
          <w:rFonts w:ascii="新宋体" w:eastAsia="新宋体" w:hAnsi="新宋体"/>
          <w:bCs w:val="0"/>
          <w:sz w:val="21"/>
          <w:szCs w:val="21"/>
        </w:rPr>
      </w:pPr>
      <w:r>
        <w:rPr>
          <w:rFonts w:ascii="新宋体" w:eastAsia="新宋体" w:hAnsi="新宋体" w:hint="eastAsia"/>
          <w:bCs w:val="0"/>
          <w:sz w:val="21"/>
          <w:szCs w:val="21"/>
        </w:rPr>
        <w:t>其他</w:t>
      </w:r>
      <w:r>
        <w:rPr>
          <w:rFonts w:ascii="新宋体" w:eastAsia="新宋体" w:hAnsi="新宋体"/>
          <w:bCs w:val="0"/>
          <w:sz w:val="21"/>
          <w:szCs w:val="21"/>
        </w:rPr>
        <w:t>：</w:t>
      </w:r>
    </w:p>
    <w:p w:rsidR="00334309" w:rsidRDefault="00334309" w:rsidP="00334309">
      <w:pPr>
        <w:numPr>
          <w:ilvl w:val="0"/>
          <w:numId w:val="24"/>
        </w:numPr>
        <w:tabs>
          <w:tab w:val="clear" w:pos="1440"/>
        </w:tabs>
        <w:spacing w:line="400" w:lineRule="exact"/>
        <w:ind w:left="0" w:firstLine="0"/>
        <w:rPr>
          <w:rFonts w:ascii="新宋体" w:eastAsia="新宋体" w:hAnsi="新宋体"/>
          <w:szCs w:val="21"/>
        </w:rPr>
      </w:pPr>
      <w:r>
        <w:rPr>
          <w:rFonts w:ascii="新宋体" w:eastAsia="新宋体" w:hAnsi="新宋体" w:hint="eastAsia"/>
          <w:szCs w:val="21"/>
        </w:rPr>
        <w:t>中标人应按其投标文件中的承诺，进行其他售后服务工作。</w:t>
      </w:r>
    </w:p>
    <w:p w:rsidR="00334309" w:rsidRDefault="00334309" w:rsidP="00334309">
      <w:pPr>
        <w:numPr>
          <w:ilvl w:val="0"/>
          <w:numId w:val="24"/>
        </w:numPr>
        <w:tabs>
          <w:tab w:val="clear" w:pos="1440"/>
        </w:tabs>
        <w:spacing w:line="400" w:lineRule="exact"/>
        <w:ind w:left="0" w:firstLine="0"/>
        <w:rPr>
          <w:rFonts w:ascii="新宋体" w:eastAsia="新宋体" w:hAnsi="新宋体"/>
          <w:szCs w:val="21"/>
        </w:rPr>
      </w:pPr>
      <w:r>
        <w:rPr>
          <w:rFonts w:ascii="新宋体" w:eastAsia="新宋体" w:hAnsi="新宋体" w:hint="eastAsia"/>
          <w:szCs w:val="21"/>
        </w:rPr>
        <w:t>验收时做好与现有系统技术衔接，并做好相关技术文档移交。</w:t>
      </w:r>
    </w:p>
    <w:p w:rsidR="00334309" w:rsidRDefault="00334309" w:rsidP="00334309">
      <w:pPr>
        <w:pStyle w:val="1"/>
        <w:keepLines w:val="0"/>
        <w:numPr>
          <w:ilvl w:val="0"/>
          <w:numId w:val="26"/>
        </w:numPr>
        <w:tabs>
          <w:tab w:val="left" w:pos="0"/>
        </w:tabs>
        <w:autoSpaceDE w:val="0"/>
        <w:autoSpaceDN w:val="0"/>
        <w:adjustRightInd w:val="0"/>
        <w:spacing w:before="0" w:after="0" w:line="360" w:lineRule="auto"/>
        <w:jc w:val="left"/>
        <w:rPr>
          <w:rFonts w:ascii="新宋体" w:eastAsia="新宋体" w:hAnsi="新宋体"/>
          <w:b w:val="0"/>
          <w:bCs w:val="0"/>
          <w:sz w:val="21"/>
          <w:szCs w:val="21"/>
        </w:rPr>
      </w:pPr>
      <w:r>
        <w:rPr>
          <w:rFonts w:ascii="新宋体" w:eastAsia="新宋体" w:hAnsi="新宋体" w:hint="eastAsia"/>
          <w:sz w:val="21"/>
          <w:szCs w:val="21"/>
        </w:rPr>
        <w:t>升级改造技术需求：</w:t>
      </w:r>
    </w:p>
    <w:p w:rsidR="00334309" w:rsidRDefault="00334309" w:rsidP="0033430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710"/>
        <w:gridCol w:w="6022"/>
      </w:tblGrid>
      <w:tr w:rsidR="00334309" w:rsidTr="002547D5">
        <w:trPr>
          <w:trHeight w:val="470"/>
        </w:trPr>
        <w:tc>
          <w:tcPr>
            <w:tcW w:w="790" w:type="dxa"/>
            <w:vAlign w:val="center"/>
          </w:tcPr>
          <w:p w:rsidR="00334309" w:rsidRDefault="00334309" w:rsidP="002547D5">
            <w:pPr>
              <w:jc w:val="center"/>
              <w:rPr>
                <w:b/>
                <w:sz w:val="18"/>
                <w:szCs w:val="18"/>
              </w:rPr>
            </w:pPr>
            <w:r>
              <w:rPr>
                <w:rFonts w:hAnsi="宋体"/>
                <w:b/>
                <w:sz w:val="18"/>
                <w:szCs w:val="18"/>
              </w:rPr>
              <w:t>序号</w:t>
            </w:r>
          </w:p>
        </w:tc>
        <w:tc>
          <w:tcPr>
            <w:tcW w:w="1710" w:type="dxa"/>
            <w:vAlign w:val="center"/>
          </w:tcPr>
          <w:p w:rsidR="00334309" w:rsidRDefault="00334309" w:rsidP="002547D5">
            <w:pPr>
              <w:jc w:val="center"/>
              <w:rPr>
                <w:b/>
                <w:sz w:val="18"/>
                <w:szCs w:val="18"/>
              </w:rPr>
            </w:pPr>
            <w:r>
              <w:rPr>
                <w:rFonts w:hAnsi="宋体" w:hint="eastAsia"/>
                <w:b/>
                <w:sz w:val="18"/>
                <w:szCs w:val="18"/>
              </w:rPr>
              <w:t>服务内容</w:t>
            </w:r>
          </w:p>
        </w:tc>
        <w:tc>
          <w:tcPr>
            <w:tcW w:w="6022" w:type="dxa"/>
            <w:vAlign w:val="center"/>
          </w:tcPr>
          <w:p w:rsidR="00334309" w:rsidRDefault="00334309" w:rsidP="002547D5">
            <w:pPr>
              <w:jc w:val="center"/>
              <w:rPr>
                <w:b/>
                <w:sz w:val="18"/>
                <w:szCs w:val="18"/>
              </w:rPr>
            </w:pPr>
            <w:r>
              <w:rPr>
                <w:rFonts w:hAnsi="宋体"/>
                <w:b/>
                <w:sz w:val="18"/>
                <w:szCs w:val="18"/>
              </w:rPr>
              <w:t>技术要求</w:t>
            </w:r>
          </w:p>
        </w:tc>
      </w:tr>
      <w:tr w:rsidR="00334309" w:rsidTr="002547D5">
        <w:trPr>
          <w:trHeight w:val="450"/>
        </w:trPr>
        <w:tc>
          <w:tcPr>
            <w:tcW w:w="790" w:type="dxa"/>
            <w:vMerge w:val="restart"/>
            <w:vAlign w:val="center"/>
          </w:tcPr>
          <w:p w:rsidR="00334309" w:rsidRDefault="00334309" w:rsidP="002547D5">
            <w:pPr>
              <w:jc w:val="center"/>
              <w:rPr>
                <w:sz w:val="18"/>
                <w:szCs w:val="18"/>
              </w:rPr>
            </w:pPr>
            <w:r>
              <w:rPr>
                <w:rFonts w:hint="eastAsia"/>
                <w:sz w:val="18"/>
                <w:szCs w:val="18"/>
              </w:rPr>
              <w:t>1</w:t>
            </w:r>
          </w:p>
        </w:tc>
        <w:tc>
          <w:tcPr>
            <w:tcW w:w="1710" w:type="dxa"/>
            <w:vMerge w:val="restart"/>
            <w:vAlign w:val="center"/>
          </w:tcPr>
          <w:p w:rsidR="00334309" w:rsidRDefault="00334309" w:rsidP="002547D5">
            <w:pPr>
              <w:jc w:val="center"/>
              <w:rPr>
                <w:rFonts w:hAnsi="宋体"/>
                <w:sz w:val="18"/>
                <w:szCs w:val="18"/>
              </w:rPr>
            </w:pPr>
            <w:r>
              <w:rPr>
                <w:rFonts w:hAnsi="宋体" w:hint="eastAsia"/>
                <w:sz w:val="18"/>
                <w:szCs w:val="18"/>
              </w:rPr>
              <w:t>预算编制管理</w:t>
            </w:r>
          </w:p>
        </w:tc>
        <w:tc>
          <w:tcPr>
            <w:tcW w:w="6022" w:type="dxa"/>
            <w:vAlign w:val="center"/>
          </w:tcPr>
          <w:p w:rsidR="00334309" w:rsidRDefault="00334309" w:rsidP="002547D5">
            <w:pPr>
              <w:rPr>
                <w:bCs/>
                <w:sz w:val="18"/>
                <w:szCs w:val="18"/>
              </w:rPr>
            </w:pPr>
            <w:r>
              <w:rPr>
                <w:rFonts w:hint="eastAsia"/>
                <w:bCs/>
                <w:sz w:val="18"/>
                <w:szCs w:val="18"/>
              </w:rPr>
              <w:t>1</w:t>
            </w:r>
            <w:r>
              <w:rPr>
                <w:bCs/>
                <w:sz w:val="18"/>
                <w:szCs w:val="18"/>
              </w:rPr>
              <w:t>.1</w:t>
            </w:r>
            <w:r>
              <w:rPr>
                <w:rFonts w:hint="eastAsia"/>
                <w:bCs/>
                <w:sz w:val="18"/>
                <w:szCs w:val="18"/>
              </w:rPr>
              <w:t>在现有系统基础上，对</w:t>
            </w:r>
            <w:r>
              <w:rPr>
                <w:rFonts w:hAnsi="宋体" w:hint="eastAsia"/>
                <w:bCs/>
                <w:sz w:val="18"/>
                <w:szCs w:val="18"/>
              </w:rPr>
              <w:t>项目申报管理、项目调整管理等根据政策、业务需求进行系统精细化管理，实现往年项目复用、直接重报新增、调整；在预算执行过程中有基层单位有市局安排或者区局有需要临时增加的项目需要追加、调剂项目都通过追加或调剂项目进行申报审核纳入当年的部门预算。</w:t>
            </w:r>
          </w:p>
        </w:tc>
      </w:tr>
      <w:tr w:rsidR="00334309" w:rsidTr="002547D5">
        <w:trPr>
          <w:trHeight w:val="9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rFonts w:hAnsi="宋体"/>
                <w:sz w:val="18"/>
                <w:szCs w:val="18"/>
              </w:rPr>
            </w:pPr>
          </w:p>
        </w:tc>
        <w:tc>
          <w:tcPr>
            <w:tcW w:w="6022" w:type="dxa"/>
            <w:vAlign w:val="center"/>
          </w:tcPr>
          <w:p w:rsidR="00334309" w:rsidRDefault="00334309" w:rsidP="002547D5">
            <w:pPr>
              <w:rPr>
                <w:bCs/>
                <w:sz w:val="18"/>
                <w:szCs w:val="18"/>
              </w:rPr>
            </w:pPr>
            <w:r>
              <w:rPr>
                <w:sz w:val="18"/>
                <w:szCs w:val="18"/>
              </w:rPr>
              <w:t>▲</w:t>
            </w:r>
            <w:r>
              <w:rPr>
                <w:rFonts w:hAnsi="宋体" w:hint="eastAsia"/>
                <w:bCs/>
                <w:sz w:val="18"/>
                <w:szCs w:val="18"/>
              </w:rPr>
              <w:t>1.</w:t>
            </w:r>
            <w:r>
              <w:rPr>
                <w:rFonts w:hAnsi="宋体"/>
                <w:bCs/>
                <w:sz w:val="18"/>
                <w:szCs w:val="18"/>
              </w:rPr>
              <w:t>2</w:t>
            </w:r>
            <w:r>
              <w:rPr>
                <w:rFonts w:hAnsi="宋体" w:hint="eastAsia"/>
                <w:bCs/>
                <w:sz w:val="18"/>
                <w:szCs w:val="18"/>
              </w:rPr>
              <w:t>纳入预算管理：</w:t>
            </w:r>
            <w:r>
              <w:rPr>
                <w:rFonts w:hint="eastAsia"/>
                <w:color w:val="000000"/>
                <w:sz w:val="18"/>
                <w:szCs w:val="18"/>
              </w:rPr>
              <w:t>财务处根据各个基层单位所申报的项目在审核无误通过后需要纳入部门预算与基本支出形成该单位当年的所有部门预算支出。在预算过完人大会财委批复以后，所有的项目都要在指标管理里面纳入指标，指标进入报账管理。</w:t>
            </w:r>
          </w:p>
        </w:tc>
      </w:tr>
      <w:tr w:rsidR="00334309" w:rsidTr="002547D5">
        <w:trPr>
          <w:trHeight w:val="45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rFonts w:hAnsi="宋体"/>
                <w:sz w:val="18"/>
                <w:szCs w:val="18"/>
              </w:rPr>
            </w:pPr>
          </w:p>
        </w:tc>
        <w:tc>
          <w:tcPr>
            <w:tcW w:w="6022" w:type="dxa"/>
            <w:vAlign w:val="center"/>
          </w:tcPr>
          <w:p w:rsidR="00334309" w:rsidRDefault="00334309" w:rsidP="002547D5">
            <w:pPr>
              <w:rPr>
                <w:bCs/>
                <w:sz w:val="18"/>
                <w:szCs w:val="18"/>
              </w:rPr>
            </w:pPr>
            <w:r>
              <w:rPr>
                <w:rFonts w:hAnsi="宋体" w:hint="eastAsia"/>
                <w:bCs/>
                <w:sz w:val="18"/>
                <w:szCs w:val="18"/>
              </w:rPr>
              <w:t>1.</w:t>
            </w:r>
            <w:r>
              <w:rPr>
                <w:rFonts w:hAnsi="宋体"/>
                <w:bCs/>
                <w:sz w:val="18"/>
                <w:szCs w:val="18"/>
              </w:rPr>
              <w:t>3</w:t>
            </w:r>
            <w:r>
              <w:rPr>
                <w:rFonts w:hAnsi="宋体" w:hint="eastAsia"/>
                <w:bCs/>
                <w:sz w:val="18"/>
                <w:szCs w:val="18"/>
              </w:rPr>
              <w:t>报表管理：</w:t>
            </w:r>
            <w:r>
              <w:rPr>
                <w:rFonts w:hint="eastAsia"/>
                <w:sz w:val="18"/>
                <w:szCs w:val="18"/>
              </w:rPr>
              <w:t>项目库报表中有处室业务经费预算表、经济科目支出预算表、预算执行情况表、基本支出预算汇总表；根据不同时期的需求输出相关报表，其中预算执行情况表根据单位当月支出数导出该单位的预算执行情况。</w:t>
            </w:r>
          </w:p>
        </w:tc>
      </w:tr>
      <w:tr w:rsidR="00334309" w:rsidTr="002547D5">
        <w:trPr>
          <w:trHeight w:val="450"/>
        </w:trPr>
        <w:tc>
          <w:tcPr>
            <w:tcW w:w="790" w:type="dxa"/>
            <w:vMerge w:val="restart"/>
            <w:vAlign w:val="center"/>
          </w:tcPr>
          <w:p w:rsidR="00334309" w:rsidRDefault="00334309" w:rsidP="002547D5">
            <w:pPr>
              <w:jc w:val="center"/>
              <w:rPr>
                <w:sz w:val="18"/>
                <w:szCs w:val="18"/>
              </w:rPr>
            </w:pPr>
            <w:r>
              <w:rPr>
                <w:rFonts w:hint="eastAsia"/>
                <w:sz w:val="18"/>
                <w:szCs w:val="18"/>
              </w:rPr>
              <w:t>2</w:t>
            </w:r>
          </w:p>
        </w:tc>
        <w:tc>
          <w:tcPr>
            <w:tcW w:w="1710" w:type="dxa"/>
            <w:vMerge w:val="restart"/>
            <w:vAlign w:val="center"/>
          </w:tcPr>
          <w:p w:rsidR="00334309" w:rsidRDefault="00334309" w:rsidP="002547D5">
            <w:pPr>
              <w:jc w:val="center"/>
              <w:rPr>
                <w:sz w:val="18"/>
                <w:szCs w:val="18"/>
              </w:rPr>
            </w:pPr>
            <w:r>
              <w:rPr>
                <w:rFonts w:hAnsi="宋体"/>
                <w:sz w:val="18"/>
                <w:szCs w:val="18"/>
              </w:rPr>
              <w:t>指标管理</w:t>
            </w:r>
          </w:p>
        </w:tc>
        <w:tc>
          <w:tcPr>
            <w:tcW w:w="6022" w:type="dxa"/>
            <w:vAlign w:val="center"/>
          </w:tcPr>
          <w:p w:rsidR="00334309" w:rsidRDefault="00334309" w:rsidP="002547D5">
            <w:pPr>
              <w:rPr>
                <w:bCs/>
                <w:sz w:val="18"/>
                <w:szCs w:val="18"/>
              </w:rPr>
            </w:pPr>
            <w:r>
              <w:rPr>
                <w:rFonts w:hint="eastAsia"/>
                <w:bCs/>
                <w:sz w:val="18"/>
                <w:szCs w:val="18"/>
              </w:rPr>
              <w:t>2</w:t>
            </w:r>
            <w:r>
              <w:rPr>
                <w:bCs/>
                <w:sz w:val="18"/>
                <w:szCs w:val="18"/>
              </w:rPr>
              <w:t>.1</w:t>
            </w:r>
            <w:r>
              <w:rPr>
                <w:rFonts w:hint="eastAsia"/>
                <w:bCs/>
                <w:sz w:val="18"/>
                <w:szCs w:val="18"/>
              </w:rPr>
              <w:t>在现有系统基础上，实现指标管理模块对</w:t>
            </w:r>
            <w:r>
              <w:rPr>
                <w:rFonts w:hAnsi="宋体" w:hint="eastAsia"/>
                <w:bCs/>
                <w:sz w:val="18"/>
                <w:szCs w:val="18"/>
              </w:rPr>
              <w:t>指标接受登记、指标调剂、</w:t>
            </w:r>
            <w:r>
              <w:rPr>
                <w:rFonts w:hAnsi="宋体"/>
                <w:bCs/>
                <w:sz w:val="18"/>
                <w:szCs w:val="18"/>
              </w:rPr>
              <w:t>公用指标额度控制</w:t>
            </w:r>
            <w:r>
              <w:rPr>
                <w:rFonts w:hAnsi="宋体" w:hint="eastAsia"/>
                <w:bCs/>
                <w:sz w:val="18"/>
                <w:szCs w:val="18"/>
              </w:rPr>
              <w:t>、季度计划等。</w:t>
            </w:r>
          </w:p>
        </w:tc>
      </w:tr>
      <w:tr w:rsidR="00334309" w:rsidTr="002547D5">
        <w:trPr>
          <w:trHeight w:val="45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2.2</w:t>
            </w:r>
            <w:r>
              <w:rPr>
                <w:rFonts w:hint="eastAsia"/>
                <w:sz w:val="18"/>
                <w:szCs w:val="18"/>
              </w:rPr>
              <w:t>指标接收登记：</w:t>
            </w:r>
            <w:r>
              <w:rPr>
                <w:rFonts w:hAnsi="宋体"/>
                <w:sz w:val="18"/>
                <w:szCs w:val="18"/>
              </w:rPr>
              <w:t>与预算项目库管理系统的衔接接口，以便实现</w:t>
            </w:r>
            <w:r>
              <w:rPr>
                <w:rFonts w:hAnsi="宋体" w:hint="eastAsia"/>
                <w:sz w:val="18"/>
                <w:szCs w:val="18"/>
              </w:rPr>
              <w:t>同步</w:t>
            </w:r>
            <w:r>
              <w:rPr>
                <w:rFonts w:hAnsi="宋体"/>
                <w:sz w:val="18"/>
                <w:szCs w:val="18"/>
              </w:rPr>
              <w:t>预算项目</w:t>
            </w:r>
            <w:r>
              <w:rPr>
                <w:rFonts w:hAnsi="宋体" w:hint="eastAsia"/>
                <w:sz w:val="18"/>
                <w:szCs w:val="18"/>
              </w:rPr>
              <w:t>库</w:t>
            </w:r>
            <w:r>
              <w:rPr>
                <w:rFonts w:hAnsi="宋体"/>
                <w:sz w:val="18"/>
                <w:szCs w:val="18"/>
              </w:rPr>
              <w:t>的数据</w:t>
            </w:r>
            <w:r>
              <w:rPr>
                <w:rFonts w:hAnsi="宋体" w:hint="eastAsia"/>
                <w:sz w:val="18"/>
                <w:szCs w:val="18"/>
              </w:rPr>
              <w:t>，形成指标。</w:t>
            </w:r>
          </w:p>
        </w:tc>
      </w:tr>
      <w:tr w:rsidR="00334309" w:rsidTr="002547D5">
        <w:trPr>
          <w:trHeight w:val="45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bCs/>
                <w:sz w:val="18"/>
                <w:szCs w:val="18"/>
              </w:rPr>
            </w:pPr>
            <w:r>
              <w:rPr>
                <w:rFonts w:hint="eastAsia"/>
                <w:sz w:val="18"/>
                <w:szCs w:val="18"/>
              </w:rPr>
              <w:t>2</w:t>
            </w:r>
            <w:r>
              <w:rPr>
                <w:sz w:val="18"/>
                <w:szCs w:val="18"/>
              </w:rPr>
              <w:t>.</w:t>
            </w:r>
            <w:r>
              <w:rPr>
                <w:rFonts w:hint="eastAsia"/>
                <w:sz w:val="18"/>
                <w:szCs w:val="18"/>
              </w:rPr>
              <w:t>3</w:t>
            </w:r>
            <w:r>
              <w:rPr>
                <w:rFonts w:hAnsi="宋体"/>
                <w:sz w:val="18"/>
                <w:szCs w:val="18"/>
              </w:rPr>
              <w:t>指标调剂：在多个指标间进行指标金额调增调减，所涉及的多个指标的总额不发生变化。</w:t>
            </w:r>
          </w:p>
        </w:tc>
      </w:tr>
      <w:tr w:rsidR="00334309" w:rsidTr="002547D5">
        <w:trPr>
          <w:trHeight w:val="45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bCs/>
                <w:sz w:val="18"/>
                <w:szCs w:val="18"/>
              </w:rPr>
            </w:pPr>
            <w:r>
              <w:rPr>
                <w:rFonts w:hint="eastAsia"/>
                <w:sz w:val="18"/>
                <w:szCs w:val="18"/>
              </w:rPr>
              <w:t>2</w:t>
            </w:r>
            <w:r>
              <w:rPr>
                <w:sz w:val="18"/>
                <w:szCs w:val="18"/>
              </w:rPr>
              <w:t>.</w:t>
            </w:r>
            <w:r>
              <w:rPr>
                <w:rFonts w:hint="eastAsia"/>
                <w:sz w:val="18"/>
                <w:szCs w:val="18"/>
              </w:rPr>
              <w:t>4</w:t>
            </w:r>
            <w:r>
              <w:rPr>
                <w:rFonts w:hAnsi="宋体"/>
                <w:bCs/>
                <w:sz w:val="18"/>
                <w:szCs w:val="18"/>
              </w:rPr>
              <w:t>公用指标额度控制</w:t>
            </w:r>
            <w:r>
              <w:rPr>
                <w:rFonts w:hAnsi="宋体"/>
                <w:sz w:val="18"/>
                <w:szCs w:val="18"/>
              </w:rPr>
              <w:t>：对公用指标进行多个使用部门额度分配控制。</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bCs/>
                <w:sz w:val="18"/>
                <w:szCs w:val="18"/>
              </w:rPr>
            </w:pPr>
            <w:r>
              <w:rPr>
                <w:rFonts w:hint="eastAsia"/>
                <w:sz w:val="18"/>
                <w:szCs w:val="18"/>
              </w:rPr>
              <w:t>2</w:t>
            </w:r>
            <w:r>
              <w:rPr>
                <w:sz w:val="18"/>
                <w:szCs w:val="18"/>
              </w:rPr>
              <w:t>.</w:t>
            </w:r>
            <w:r>
              <w:rPr>
                <w:rFonts w:hint="eastAsia"/>
                <w:sz w:val="18"/>
                <w:szCs w:val="18"/>
              </w:rPr>
              <w:t>5</w:t>
            </w:r>
            <w:r>
              <w:rPr>
                <w:rFonts w:hint="eastAsia"/>
                <w:sz w:val="18"/>
                <w:szCs w:val="18"/>
              </w:rPr>
              <w:t>季度计划：指标按季度分解，统计每个季度的资金执行情况。</w:t>
            </w:r>
          </w:p>
        </w:tc>
      </w:tr>
      <w:tr w:rsidR="00334309" w:rsidTr="002547D5">
        <w:trPr>
          <w:trHeight w:val="510"/>
        </w:trPr>
        <w:tc>
          <w:tcPr>
            <w:tcW w:w="790" w:type="dxa"/>
            <w:vMerge w:val="restart"/>
            <w:vAlign w:val="center"/>
          </w:tcPr>
          <w:p w:rsidR="00334309" w:rsidRDefault="00334309" w:rsidP="002547D5">
            <w:pPr>
              <w:jc w:val="center"/>
              <w:rPr>
                <w:sz w:val="18"/>
                <w:szCs w:val="18"/>
              </w:rPr>
            </w:pPr>
            <w:r>
              <w:rPr>
                <w:rFonts w:hint="eastAsia"/>
                <w:sz w:val="18"/>
                <w:szCs w:val="18"/>
              </w:rPr>
              <w:t>3</w:t>
            </w:r>
          </w:p>
        </w:tc>
        <w:tc>
          <w:tcPr>
            <w:tcW w:w="1710" w:type="dxa"/>
            <w:vMerge w:val="restart"/>
            <w:vAlign w:val="center"/>
          </w:tcPr>
          <w:p w:rsidR="00334309" w:rsidRDefault="00334309" w:rsidP="002547D5">
            <w:pPr>
              <w:jc w:val="center"/>
              <w:rPr>
                <w:sz w:val="18"/>
                <w:szCs w:val="18"/>
              </w:rPr>
            </w:pPr>
            <w:r>
              <w:rPr>
                <w:rFonts w:hAnsi="宋体"/>
                <w:sz w:val="18"/>
                <w:szCs w:val="18"/>
              </w:rPr>
              <w:t>报账管理</w:t>
            </w:r>
          </w:p>
        </w:tc>
        <w:tc>
          <w:tcPr>
            <w:tcW w:w="6022" w:type="dxa"/>
            <w:vAlign w:val="center"/>
          </w:tcPr>
          <w:p w:rsidR="00334309" w:rsidRDefault="00334309" w:rsidP="002547D5">
            <w:pPr>
              <w:rPr>
                <w:bCs/>
                <w:sz w:val="18"/>
                <w:szCs w:val="18"/>
              </w:rPr>
            </w:pPr>
            <w:r>
              <w:rPr>
                <w:rFonts w:hint="eastAsia"/>
                <w:bCs/>
                <w:sz w:val="18"/>
                <w:szCs w:val="18"/>
              </w:rPr>
              <w:t>3</w:t>
            </w:r>
            <w:r>
              <w:rPr>
                <w:bCs/>
                <w:sz w:val="18"/>
                <w:szCs w:val="18"/>
              </w:rPr>
              <w:t>.1</w:t>
            </w:r>
            <w:r>
              <w:rPr>
                <w:rFonts w:hint="eastAsia"/>
                <w:bCs/>
                <w:sz w:val="18"/>
                <w:szCs w:val="18"/>
              </w:rPr>
              <w:t>在现有系统基础上，</w:t>
            </w:r>
            <w:r>
              <w:rPr>
                <w:rFonts w:hAnsi="宋体"/>
                <w:sz w:val="18"/>
                <w:szCs w:val="18"/>
              </w:rPr>
              <w:t>实现网上报账申请填报，报销审核，报账支付信息传入财务管理系统自动生成记账凭证。报账管理实现规范报账流程、规范报销单使用、</w:t>
            </w:r>
            <w:r>
              <w:rPr>
                <w:rFonts w:hAnsi="宋体" w:hint="eastAsia"/>
                <w:sz w:val="18"/>
                <w:szCs w:val="18"/>
              </w:rPr>
              <w:t>控制报销费用标准</w:t>
            </w:r>
            <w:r>
              <w:rPr>
                <w:rFonts w:hAnsi="宋体"/>
                <w:sz w:val="18"/>
                <w:szCs w:val="18"/>
              </w:rPr>
              <w:t>、业务进度</w:t>
            </w:r>
            <w:r>
              <w:rPr>
                <w:rFonts w:hAnsi="宋体" w:hint="eastAsia"/>
                <w:sz w:val="18"/>
                <w:szCs w:val="18"/>
              </w:rPr>
              <w:t>、公示信息</w:t>
            </w:r>
            <w:r>
              <w:rPr>
                <w:rFonts w:hAnsi="宋体"/>
                <w:sz w:val="18"/>
                <w:szCs w:val="18"/>
              </w:rPr>
              <w:t>实时查询等目标。</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bCs/>
                <w:sz w:val="18"/>
                <w:szCs w:val="18"/>
              </w:rPr>
            </w:pPr>
            <w:r>
              <w:rPr>
                <w:rFonts w:hint="eastAsia"/>
                <w:sz w:val="18"/>
                <w:szCs w:val="18"/>
              </w:rPr>
              <w:t>3</w:t>
            </w:r>
            <w:r>
              <w:rPr>
                <w:sz w:val="18"/>
                <w:szCs w:val="18"/>
              </w:rPr>
              <w:t>.2</w:t>
            </w:r>
            <w:r>
              <w:rPr>
                <w:rFonts w:hAnsi="宋体"/>
                <w:sz w:val="18"/>
                <w:szCs w:val="18"/>
              </w:rPr>
              <w:t>事前申请：事前申请需要确定所用的预算指标及申请额度。事前申请对所用指标额度进行占用，保证在事前环节就实现了对预算指标额度的精准严格控制。</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bCs/>
                <w:sz w:val="18"/>
                <w:szCs w:val="18"/>
              </w:rPr>
            </w:pPr>
            <w:r>
              <w:rPr>
                <w:rFonts w:hint="eastAsia"/>
                <w:sz w:val="18"/>
                <w:szCs w:val="18"/>
              </w:rPr>
              <w:t>3</w:t>
            </w:r>
            <w:r>
              <w:rPr>
                <w:sz w:val="18"/>
                <w:szCs w:val="18"/>
              </w:rPr>
              <w:t>.3</w:t>
            </w:r>
            <w:r>
              <w:rPr>
                <w:rFonts w:hAnsi="宋体"/>
                <w:sz w:val="18"/>
                <w:szCs w:val="18"/>
              </w:rPr>
              <w:t>借款申请：借款申请需要确定所对应的事前申请，借款总金额不能超出事前申请额度。</w:t>
            </w:r>
          </w:p>
        </w:tc>
      </w:tr>
      <w:tr w:rsidR="00334309" w:rsidTr="002547D5">
        <w:trPr>
          <w:trHeight w:val="274"/>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rFonts w:hAnsi="宋体"/>
                <w:sz w:val="18"/>
                <w:szCs w:val="18"/>
              </w:rPr>
            </w:pPr>
            <w:r>
              <w:rPr>
                <w:sz w:val="18"/>
                <w:szCs w:val="18"/>
              </w:rPr>
              <w:t>▲</w:t>
            </w:r>
            <w:r>
              <w:rPr>
                <w:rFonts w:hint="eastAsia"/>
                <w:sz w:val="18"/>
                <w:szCs w:val="18"/>
              </w:rPr>
              <w:t>3</w:t>
            </w:r>
            <w:r>
              <w:rPr>
                <w:sz w:val="18"/>
                <w:szCs w:val="18"/>
              </w:rPr>
              <w:t>.4</w:t>
            </w:r>
            <w:r>
              <w:rPr>
                <w:rFonts w:hAnsi="宋体"/>
                <w:sz w:val="18"/>
                <w:szCs w:val="18"/>
              </w:rPr>
              <w:t>报账申请：报账申请需要确定所对应的预算指标或事前申请，填报用途、金额等。</w:t>
            </w:r>
          </w:p>
          <w:p w:rsidR="00334309" w:rsidRDefault="00334309" w:rsidP="002547D5">
            <w:pPr>
              <w:rPr>
                <w:bCs/>
                <w:sz w:val="18"/>
                <w:szCs w:val="18"/>
              </w:rPr>
            </w:pPr>
            <w:r>
              <w:rPr>
                <w:rFonts w:hAnsi="宋体"/>
                <w:sz w:val="18"/>
                <w:szCs w:val="18"/>
              </w:rPr>
              <w:t>支持</w:t>
            </w:r>
            <w:r>
              <w:rPr>
                <w:rFonts w:hAnsi="宋体" w:hint="eastAsia"/>
                <w:sz w:val="18"/>
                <w:szCs w:val="18"/>
              </w:rPr>
              <w:t>场景化报销：</w:t>
            </w:r>
            <w:r>
              <w:rPr>
                <w:rFonts w:hAnsi="宋体"/>
                <w:sz w:val="18"/>
                <w:szCs w:val="18"/>
              </w:rPr>
              <w:t>一般经费、会议费、培训费、公务接待费、差旅费等多种报销单。报销单据支持电子发票识别，避免电子发票重复使用。</w:t>
            </w:r>
            <w:r>
              <w:rPr>
                <w:rFonts w:hAnsi="宋体" w:hint="eastAsia"/>
                <w:sz w:val="18"/>
                <w:szCs w:val="18"/>
              </w:rPr>
              <w:t>可监督报销费用是否符合业务的标准，如有超标准有提醒功能，能够查看各类业务的报销标准。</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sz w:val="18"/>
                <w:szCs w:val="18"/>
              </w:rPr>
            </w:pPr>
            <w:r>
              <w:rPr>
                <w:rFonts w:hint="eastAsia"/>
                <w:sz w:val="18"/>
                <w:szCs w:val="18"/>
              </w:rPr>
              <w:t>3</w:t>
            </w:r>
            <w:r>
              <w:rPr>
                <w:sz w:val="18"/>
                <w:szCs w:val="18"/>
              </w:rPr>
              <w:t>.5</w:t>
            </w:r>
            <w:r>
              <w:rPr>
                <w:rFonts w:hAnsi="宋体"/>
                <w:sz w:val="18"/>
                <w:szCs w:val="18"/>
              </w:rPr>
              <w:t>单据审核：单据审核时按照预先设定好的审批流程自动送达相应的审批人员。支持自定义审批流程。</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sz w:val="18"/>
                <w:szCs w:val="18"/>
              </w:rPr>
            </w:pPr>
            <w:r>
              <w:rPr>
                <w:sz w:val="18"/>
                <w:szCs w:val="18"/>
              </w:rPr>
              <w:t>▲3.6</w:t>
            </w:r>
            <w:r>
              <w:rPr>
                <w:rFonts w:hint="eastAsia"/>
                <w:sz w:val="18"/>
                <w:szCs w:val="18"/>
              </w:rPr>
              <w:t>公示信息统计：如食堂采购费用明细、三公经费、差旅费、培训费、会议费等需要进行公示的信息统计（包括全局及分局分开统计）。统计。（包括全局、分局统计）</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bCs/>
                <w:sz w:val="18"/>
                <w:szCs w:val="18"/>
              </w:rPr>
            </w:pPr>
            <w:r>
              <w:rPr>
                <w:sz w:val="18"/>
                <w:szCs w:val="18"/>
              </w:rPr>
              <w:t>▲</w:t>
            </w:r>
            <w:r>
              <w:rPr>
                <w:rFonts w:hint="eastAsia"/>
                <w:sz w:val="18"/>
                <w:szCs w:val="18"/>
              </w:rPr>
              <w:t>3</w:t>
            </w:r>
            <w:r>
              <w:rPr>
                <w:sz w:val="18"/>
                <w:szCs w:val="18"/>
              </w:rPr>
              <w:t>.</w:t>
            </w:r>
            <w:r>
              <w:rPr>
                <w:rFonts w:hint="eastAsia"/>
                <w:sz w:val="18"/>
                <w:szCs w:val="18"/>
              </w:rPr>
              <w:t>7</w:t>
            </w:r>
            <w:r>
              <w:rPr>
                <w:rFonts w:hint="eastAsia"/>
                <w:sz w:val="18"/>
                <w:szCs w:val="18"/>
              </w:rPr>
              <w:t>报账支付：</w:t>
            </w:r>
            <w:r>
              <w:rPr>
                <w:rFonts w:hAnsi="宋体"/>
                <w:bCs/>
                <w:sz w:val="18"/>
                <w:szCs w:val="18"/>
              </w:rPr>
              <w:t>根据金财国库支付系统所提供接口，将报账数据上传金财国库支付系统以完成报账支付。</w:t>
            </w:r>
            <w:r>
              <w:rPr>
                <w:rFonts w:hint="eastAsia"/>
                <w:sz w:val="18"/>
                <w:szCs w:val="18"/>
              </w:rPr>
              <w:t>支付完成之后自动生成出纳银行日记账。</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3</w:t>
            </w:r>
            <w:r>
              <w:rPr>
                <w:sz w:val="18"/>
                <w:szCs w:val="18"/>
              </w:rPr>
              <w:t>.</w:t>
            </w:r>
            <w:r>
              <w:rPr>
                <w:rFonts w:hint="eastAsia"/>
                <w:sz w:val="18"/>
                <w:szCs w:val="18"/>
              </w:rPr>
              <w:t>8</w:t>
            </w:r>
            <w:r>
              <w:rPr>
                <w:rFonts w:hint="eastAsia"/>
                <w:sz w:val="18"/>
                <w:szCs w:val="18"/>
              </w:rPr>
              <w:t>报账自动生成凭证：根据报账数据，以及最新政府会计制度要求，自动生成双分录凭证。</w:t>
            </w:r>
          </w:p>
        </w:tc>
      </w:tr>
      <w:tr w:rsidR="00334309" w:rsidTr="002547D5">
        <w:trPr>
          <w:trHeight w:val="510"/>
        </w:trPr>
        <w:tc>
          <w:tcPr>
            <w:tcW w:w="790" w:type="dxa"/>
            <w:vMerge w:val="restart"/>
            <w:vAlign w:val="center"/>
          </w:tcPr>
          <w:p w:rsidR="00334309" w:rsidRDefault="00334309" w:rsidP="002547D5">
            <w:pPr>
              <w:jc w:val="center"/>
              <w:rPr>
                <w:sz w:val="18"/>
                <w:szCs w:val="18"/>
              </w:rPr>
            </w:pPr>
            <w:r>
              <w:rPr>
                <w:rFonts w:hint="eastAsia"/>
                <w:sz w:val="18"/>
                <w:szCs w:val="18"/>
              </w:rPr>
              <w:t>4</w:t>
            </w:r>
          </w:p>
        </w:tc>
        <w:tc>
          <w:tcPr>
            <w:tcW w:w="1710" w:type="dxa"/>
            <w:vMerge w:val="restart"/>
            <w:vAlign w:val="center"/>
          </w:tcPr>
          <w:p w:rsidR="00334309" w:rsidRDefault="00334309" w:rsidP="002547D5">
            <w:pPr>
              <w:jc w:val="center"/>
              <w:rPr>
                <w:sz w:val="18"/>
                <w:szCs w:val="18"/>
              </w:rPr>
            </w:pPr>
            <w:r>
              <w:rPr>
                <w:rFonts w:hint="eastAsia"/>
                <w:sz w:val="18"/>
                <w:szCs w:val="18"/>
              </w:rPr>
              <w:t>核算管理</w:t>
            </w:r>
          </w:p>
        </w:tc>
        <w:tc>
          <w:tcPr>
            <w:tcW w:w="6022" w:type="dxa"/>
            <w:vAlign w:val="center"/>
          </w:tcPr>
          <w:p w:rsidR="00334309" w:rsidRDefault="00334309" w:rsidP="002547D5">
            <w:pPr>
              <w:rPr>
                <w:sz w:val="18"/>
                <w:szCs w:val="18"/>
              </w:rPr>
            </w:pPr>
            <w:r>
              <w:rPr>
                <w:rFonts w:hint="eastAsia"/>
                <w:sz w:val="18"/>
                <w:szCs w:val="18"/>
              </w:rPr>
              <w:t>4.1</w:t>
            </w:r>
            <w:r>
              <w:rPr>
                <w:rFonts w:hint="eastAsia"/>
                <w:sz w:val="18"/>
                <w:szCs w:val="18"/>
              </w:rPr>
              <w:t>在现有系统基础上，要求系统改造后，不但可根据新政府会计制度自动生成双分录，而且实现与国税核算系统对接、多账套数据汇总查询、自定义总账明细账余额表查询、自动结转等。</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4.</w:t>
            </w:r>
            <w:r>
              <w:rPr>
                <w:sz w:val="18"/>
                <w:szCs w:val="18"/>
              </w:rPr>
              <w:t>2</w:t>
            </w:r>
            <w:r>
              <w:rPr>
                <w:rFonts w:hint="eastAsia"/>
                <w:sz w:val="18"/>
                <w:szCs w:val="18"/>
              </w:rPr>
              <w:t>税务总局核算系统对接：实现和税务总局核算系统衔接，一键同步出纳数据、财务核算数据。</w:t>
            </w:r>
          </w:p>
          <w:p w:rsidR="00334309" w:rsidRDefault="00334309" w:rsidP="002547D5">
            <w:pPr>
              <w:rPr>
                <w:sz w:val="18"/>
                <w:szCs w:val="18"/>
              </w:rPr>
            </w:pPr>
            <w:r>
              <w:rPr>
                <w:rFonts w:hint="eastAsia"/>
                <w:sz w:val="18"/>
                <w:szCs w:val="18"/>
              </w:rPr>
              <w:lastRenderedPageBreak/>
              <w:t>核算管理中出纳数据、财务核算数据分别能与税务总局出纳模块、核算模块进行对接，实现系统一体化操作，数据全流程衔接。</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▲4.3</w:t>
            </w:r>
            <w:r>
              <w:rPr>
                <w:rFonts w:hint="eastAsia"/>
                <w:sz w:val="18"/>
                <w:szCs w:val="18"/>
              </w:rPr>
              <w:t>多账套数据查询，可根据单位需求，自由组合查询条件，实现汇总查询各下属单位的余额表和明细账。</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▲4.4</w:t>
            </w:r>
            <w:r>
              <w:rPr>
                <w:rFonts w:hint="eastAsia"/>
                <w:sz w:val="18"/>
                <w:szCs w:val="18"/>
              </w:rPr>
              <w:t>自定义账簿查询：可根据实际情况，自定义组合要素，通过不同口径统计分析。</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4.</w:t>
            </w:r>
            <w:r>
              <w:rPr>
                <w:sz w:val="18"/>
                <w:szCs w:val="18"/>
              </w:rPr>
              <w:t>5</w:t>
            </w:r>
            <w:r>
              <w:rPr>
                <w:rFonts w:hint="eastAsia"/>
                <w:sz w:val="18"/>
                <w:szCs w:val="18"/>
              </w:rPr>
              <w:t>自动结转：自动生成结转凭证、年结自动生成下年年初数。</w:t>
            </w:r>
          </w:p>
        </w:tc>
      </w:tr>
      <w:tr w:rsidR="00334309" w:rsidTr="002547D5">
        <w:trPr>
          <w:trHeight w:val="510"/>
        </w:trPr>
        <w:tc>
          <w:tcPr>
            <w:tcW w:w="790" w:type="dxa"/>
            <w:vMerge w:val="restart"/>
            <w:vAlign w:val="center"/>
          </w:tcPr>
          <w:p w:rsidR="00334309" w:rsidRDefault="00334309" w:rsidP="002547D5">
            <w:pPr>
              <w:jc w:val="center"/>
              <w:rPr>
                <w:sz w:val="18"/>
                <w:szCs w:val="18"/>
              </w:rPr>
            </w:pPr>
            <w:r>
              <w:rPr>
                <w:rFonts w:hint="eastAsia"/>
                <w:sz w:val="18"/>
                <w:szCs w:val="18"/>
              </w:rPr>
              <w:t>5</w:t>
            </w:r>
          </w:p>
        </w:tc>
        <w:tc>
          <w:tcPr>
            <w:tcW w:w="1710" w:type="dxa"/>
            <w:vMerge w:val="restart"/>
            <w:vAlign w:val="center"/>
          </w:tcPr>
          <w:p w:rsidR="00334309" w:rsidRDefault="00334309" w:rsidP="002547D5">
            <w:pPr>
              <w:jc w:val="center"/>
              <w:rPr>
                <w:sz w:val="18"/>
                <w:szCs w:val="18"/>
              </w:rPr>
            </w:pPr>
            <w:r>
              <w:rPr>
                <w:rFonts w:hint="eastAsia"/>
                <w:sz w:val="18"/>
                <w:szCs w:val="18"/>
              </w:rPr>
              <w:t>统计分析</w:t>
            </w:r>
          </w:p>
        </w:tc>
        <w:tc>
          <w:tcPr>
            <w:tcW w:w="6022" w:type="dxa"/>
            <w:vAlign w:val="center"/>
          </w:tcPr>
          <w:p w:rsidR="00334309" w:rsidRDefault="00334309" w:rsidP="002547D5">
            <w:pPr>
              <w:rPr>
                <w:sz w:val="18"/>
                <w:szCs w:val="18"/>
              </w:rPr>
            </w:pPr>
            <w:r>
              <w:rPr>
                <w:rFonts w:hint="eastAsia"/>
                <w:bCs/>
                <w:sz w:val="18"/>
                <w:szCs w:val="18"/>
              </w:rPr>
              <w:t>5.</w:t>
            </w:r>
            <w:r>
              <w:rPr>
                <w:bCs/>
                <w:sz w:val="18"/>
                <w:szCs w:val="18"/>
              </w:rPr>
              <w:t>1</w:t>
            </w:r>
            <w:r>
              <w:rPr>
                <w:rFonts w:hAnsi="宋体" w:hint="eastAsia"/>
                <w:bCs/>
                <w:sz w:val="18"/>
                <w:szCs w:val="18"/>
              </w:rPr>
              <w:t>在现有系统基础上，强化预算执行情况表统计、资产负债分析、支付情况分析、综合业务分析等功能，挖掘数据，提供更直观的领导决策依据。</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5</w:t>
            </w:r>
            <w:r>
              <w:rPr>
                <w:bCs/>
                <w:sz w:val="18"/>
                <w:szCs w:val="18"/>
              </w:rPr>
              <w:t>.</w:t>
            </w:r>
            <w:r>
              <w:rPr>
                <w:rFonts w:hint="eastAsia"/>
                <w:bCs/>
                <w:sz w:val="18"/>
                <w:szCs w:val="18"/>
              </w:rPr>
              <w:t>2</w:t>
            </w:r>
            <w:r>
              <w:rPr>
                <w:rFonts w:hint="eastAsia"/>
                <w:bCs/>
                <w:sz w:val="18"/>
                <w:szCs w:val="18"/>
              </w:rPr>
              <w:t>预算执行情况表统计：根据预算支出数，可以钻取、联查报销单据和凭证。</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5</w:t>
            </w:r>
            <w:r>
              <w:rPr>
                <w:bCs/>
                <w:sz w:val="18"/>
                <w:szCs w:val="18"/>
              </w:rPr>
              <w:t>.</w:t>
            </w:r>
            <w:r>
              <w:rPr>
                <w:rFonts w:hint="eastAsia"/>
                <w:bCs/>
                <w:sz w:val="18"/>
                <w:szCs w:val="18"/>
              </w:rPr>
              <w:t>3</w:t>
            </w:r>
            <w:r>
              <w:rPr>
                <w:rFonts w:hint="eastAsia"/>
                <w:bCs/>
                <w:sz w:val="18"/>
                <w:szCs w:val="18"/>
              </w:rPr>
              <w:t>数据分析：数据图表化，领导更直观查看数据，实现对各下属单位数据分析对比。</w:t>
            </w:r>
          </w:p>
        </w:tc>
      </w:tr>
      <w:tr w:rsidR="00334309" w:rsidTr="002547D5">
        <w:trPr>
          <w:trHeight w:val="510"/>
        </w:trPr>
        <w:tc>
          <w:tcPr>
            <w:tcW w:w="790" w:type="dxa"/>
            <w:vMerge/>
            <w:vAlign w:val="center"/>
          </w:tcPr>
          <w:p w:rsidR="00334309" w:rsidRDefault="00334309" w:rsidP="002547D5">
            <w:pPr>
              <w:jc w:val="center"/>
              <w:rPr>
                <w:sz w:val="18"/>
                <w:szCs w:val="18"/>
              </w:rPr>
            </w:pPr>
          </w:p>
        </w:tc>
        <w:tc>
          <w:tcPr>
            <w:tcW w:w="1710" w:type="dxa"/>
            <w:vMerge/>
            <w:vAlign w:val="center"/>
          </w:tcPr>
          <w:p w:rsidR="00334309" w:rsidRDefault="00334309" w:rsidP="002547D5">
            <w:pPr>
              <w:jc w:val="center"/>
              <w:rPr>
                <w:sz w:val="18"/>
                <w:szCs w:val="18"/>
              </w:rPr>
            </w:pPr>
          </w:p>
        </w:tc>
        <w:tc>
          <w:tcPr>
            <w:tcW w:w="6022" w:type="dxa"/>
            <w:vAlign w:val="center"/>
          </w:tcPr>
          <w:p w:rsidR="00334309" w:rsidRDefault="00334309" w:rsidP="002547D5">
            <w:pPr>
              <w:rPr>
                <w:sz w:val="18"/>
                <w:szCs w:val="18"/>
              </w:rPr>
            </w:pPr>
            <w:r>
              <w:rPr>
                <w:sz w:val="18"/>
                <w:szCs w:val="18"/>
              </w:rPr>
              <w:t>▲</w:t>
            </w:r>
            <w:r>
              <w:rPr>
                <w:rFonts w:hint="eastAsia"/>
                <w:sz w:val="18"/>
                <w:szCs w:val="18"/>
              </w:rPr>
              <w:t>5</w:t>
            </w:r>
            <w:r>
              <w:rPr>
                <w:bCs/>
                <w:sz w:val="18"/>
                <w:szCs w:val="18"/>
              </w:rPr>
              <w:t>.4</w:t>
            </w:r>
            <w:r>
              <w:rPr>
                <w:rFonts w:hint="eastAsia"/>
                <w:bCs/>
                <w:sz w:val="18"/>
                <w:szCs w:val="18"/>
              </w:rPr>
              <w:t>财务分析报告：可自动生成，具有图表、文字分析说明等。</w:t>
            </w:r>
          </w:p>
        </w:tc>
      </w:tr>
      <w:tr w:rsidR="00334309" w:rsidTr="002547D5">
        <w:trPr>
          <w:trHeight w:val="510"/>
        </w:trPr>
        <w:tc>
          <w:tcPr>
            <w:tcW w:w="790" w:type="dxa"/>
            <w:vAlign w:val="center"/>
          </w:tcPr>
          <w:p w:rsidR="00334309" w:rsidRDefault="00334309" w:rsidP="002547D5">
            <w:pPr>
              <w:jc w:val="center"/>
              <w:rPr>
                <w:sz w:val="18"/>
                <w:szCs w:val="18"/>
              </w:rPr>
            </w:pPr>
            <w:r>
              <w:rPr>
                <w:rFonts w:hint="eastAsia"/>
                <w:sz w:val="18"/>
                <w:szCs w:val="18"/>
              </w:rPr>
              <w:t>6</w:t>
            </w:r>
          </w:p>
        </w:tc>
        <w:tc>
          <w:tcPr>
            <w:tcW w:w="1710" w:type="dxa"/>
            <w:vAlign w:val="center"/>
          </w:tcPr>
          <w:p w:rsidR="00334309" w:rsidRDefault="00334309" w:rsidP="002547D5">
            <w:pPr>
              <w:jc w:val="center"/>
              <w:rPr>
                <w:sz w:val="18"/>
                <w:szCs w:val="18"/>
              </w:rPr>
            </w:pPr>
            <w:r>
              <w:rPr>
                <w:rFonts w:hint="eastAsia"/>
                <w:sz w:val="18"/>
                <w:szCs w:val="18"/>
              </w:rPr>
              <w:t>报表管理</w:t>
            </w:r>
          </w:p>
        </w:tc>
        <w:tc>
          <w:tcPr>
            <w:tcW w:w="6022" w:type="dxa"/>
            <w:vAlign w:val="center"/>
          </w:tcPr>
          <w:p w:rsidR="00334309" w:rsidRDefault="00334309" w:rsidP="002547D5">
            <w:pPr>
              <w:adjustRightInd w:val="0"/>
              <w:rPr>
                <w:rFonts w:hAnsi="宋体"/>
                <w:bCs/>
                <w:sz w:val="18"/>
                <w:szCs w:val="18"/>
              </w:rPr>
            </w:pPr>
            <w:r>
              <w:rPr>
                <w:sz w:val="18"/>
                <w:szCs w:val="18"/>
              </w:rPr>
              <w:t>▲</w:t>
            </w:r>
            <w:r>
              <w:rPr>
                <w:rFonts w:hint="eastAsia"/>
                <w:sz w:val="18"/>
                <w:szCs w:val="18"/>
              </w:rPr>
              <w:t>6.1</w:t>
            </w:r>
            <w:r>
              <w:rPr>
                <w:rFonts w:hAnsi="宋体" w:hint="eastAsia"/>
                <w:bCs/>
                <w:sz w:val="18"/>
                <w:szCs w:val="18"/>
              </w:rPr>
              <w:t>在现有系统基础上，实现各类报表数据可进行联查到凭证数据，并且可实现与部门决算系统报表无缝衔接，自动生成。</w:t>
            </w:r>
          </w:p>
          <w:p w:rsidR="00334309" w:rsidRDefault="00334309" w:rsidP="002547D5">
            <w:pPr>
              <w:adjustRightInd w:val="0"/>
              <w:rPr>
                <w:rFonts w:hAnsi="宋体"/>
                <w:bCs/>
                <w:sz w:val="18"/>
                <w:szCs w:val="18"/>
              </w:rPr>
            </w:pPr>
            <w:r>
              <w:rPr>
                <w:rFonts w:hAnsi="宋体" w:hint="eastAsia"/>
                <w:bCs/>
                <w:sz w:val="18"/>
                <w:szCs w:val="18"/>
              </w:rPr>
              <w:t>6.2</w:t>
            </w:r>
            <w:r>
              <w:rPr>
                <w:rFonts w:hAnsi="宋体" w:hint="eastAsia"/>
                <w:bCs/>
                <w:sz w:val="18"/>
                <w:szCs w:val="18"/>
              </w:rPr>
              <w:t>支持实现自定义报表，公用报表个性化定制，并支持模板下发至分局，进行填报汇总统计。</w:t>
            </w:r>
          </w:p>
        </w:tc>
      </w:tr>
      <w:tr w:rsidR="00334309" w:rsidTr="002547D5">
        <w:trPr>
          <w:trHeight w:val="510"/>
        </w:trPr>
        <w:tc>
          <w:tcPr>
            <w:tcW w:w="790" w:type="dxa"/>
            <w:vAlign w:val="center"/>
          </w:tcPr>
          <w:p w:rsidR="00334309" w:rsidRDefault="00334309" w:rsidP="002547D5">
            <w:pPr>
              <w:jc w:val="center"/>
              <w:rPr>
                <w:sz w:val="18"/>
                <w:szCs w:val="18"/>
              </w:rPr>
            </w:pPr>
            <w:r>
              <w:rPr>
                <w:rFonts w:hint="eastAsia"/>
                <w:sz w:val="18"/>
                <w:szCs w:val="18"/>
              </w:rPr>
              <w:t>7</w:t>
            </w:r>
          </w:p>
        </w:tc>
        <w:tc>
          <w:tcPr>
            <w:tcW w:w="1710" w:type="dxa"/>
            <w:vAlign w:val="center"/>
          </w:tcPr>
          <w:p w:rsidR="00334309" w:rsidRDefault="00334309" w:rsidP="002547D5">
            <w:pPr>
              <w:jc w:val="center"/>
              <w:rPr>
                <w:sz w:val="18"/>
                <w:szCs w:val="18"/>
              </w:rPr>
            </w:pPr>
            <w:r>
              <w:rPr>
                <w:rFonts w:hint="eastAsia"/>
                <w:sz w:val="18"/>
                <w:szCs w:val="18"/>
              </w:rPr>
              <w:t>文库管理</w:t>
            </w:r>
          </w:p>
        </w:tc>
        <w:tc>
          <w:tcPr>
            <w:tcW w:w="6022" w:type="dxa"/>
            <w:vAlign w:val="center"/>
          </w:tcPr>
          <w:p w:rsidR="00334309" w:rsidRDefault="00334309" w:rsidP="002547D5">
            <w:pPr>
              <w:rPr>
                <w:rFonts w:hAnsi="宋体"/>
                <w:bCs/>
                <w:sz w:val="18"/>
                <w:szCs w:val="18"/>
              </w:rPr>
            </w:pPr>
            <w:r>
              <w:rPr>
                <w:sz w:val="18"/>
                <w:szCs w:val="18"/>
              </w:rPr>
              <w:t>▲7.1</w:t>
            </w:r>
            <w:r>
              <w:rPr>
                <w:rFonts w:hAnsi="宋体"/>
                <w:bCs/>
                <w:sz w:val="18"/>
                <w:szCs w:val="18"/>
              </w:rPr>
              <w:t>实现资料的归档，方便资料的调阅查询，减少资料的后期物理接触，利于凭证资料的保存及安全。借档管理、归档查询等业务功能。</w:t>
            </w:r>
          </w:p>
          <w:p w:rsidR="00334309" w:rsidRDefault="00334309" w:rsidP="002547D5">
            <w:pPr>
              <w:rPr>
                <w:rFonts w:hAnsi="宋体"/>
                <w:bCs/>
                <w:sz w:val="18"/>
                <w:szCs w:val="18"/>
              </w:rPr>
            </w:pPr>
            <w:r>
              <w:rPr>
                <w:sz w:val="18"/>
                <w:szCs w:val="18"/>
              </w:rPr>
              <w:t>▲</w:t>
            </w:r>
            <w:r>
              <w:rPr>
                <w:rFonts w:hAnsi="宋体" w:hint="eastAsia"/>
                <w:bCs/>
                <w:sz w:val="18"/>
                <w:szCs w:val="18"/>
              </w:rPr>
              <w:t>7.2</w:t>
            </w:r>
            <w:r>
              <w:rPr>
                <w:rFonts w:hAnsi="宋体" w:hint="eastAsia"/>
                <w:bCs/>
                <w:sz w:val="18"/>
                <w:szCs w:val="18"/>
              </w:rPr>
              <w:t>可通过文件名模糊查询、文件内容模糊查询相对应得文档。</w:t>
            </w:r>
          </w:p>
        </w:tc>
      </w:tr>
      <w:tr w:rsidR="00334309" w:rsidTr="002547D5">
        <w:trPr>
          <w:trHeight w:val="510"/>
        </w:trPr>
        <w:tc>
          <w:tcPr>
            <w:tcW w:w="790" w:type="dxa"/>
            <w:vAlign w:val="center"/>
          </w:tcPr>
          <w:p w:rsidR="00334309" w:rsidRDefault="00334309" w:rsidP="002547D5">
            <w:pPr>
              <w:jc w:val="center"/>
              <w:rPr>
                <w:sz w:val="18"/>
                <w:szCs w:val="18"/>
              </w:rPr>
            </w:pPr>
            <w:r>
              <w:rPr>
                <w:rFonts w:hint="eastAsia"/>
                <w:sz w:val="18"/>
                <w:szCs w:val="18"/>
              </w:rPr>
              <w:t>8</w:t>
            </w:r>
          </w:p>
        </w:tc>
        <w:tc>
          <w:tcPr>
            <w:tcW w:w="1710" w:type="dxa"/>
            <w:vAlign w:val="center"/>
          </w:tcPr>
          <w:p w:rsidR="00334309" w:rsidRDefault="00334309" w:rsidP="002547D5">
            <w:pPr>
              <w:ind w:firstLineChars="200" w:firstLine="360"/>
              <w:rPr>
                <w:rFonts w:hAnsi="宋体"/>
                <w:bCs/>
                <w:sz w:val="18"/>
                <w:szCs w:val="18"/>
              </w:rPr>
            </w:pPr>
            <w:r>
              <w:rPr>
                <w:rFonts w:hAnsi="宋体" w:hint="eastAsia"/>
                <w:bCs/>
                <w:sz w:val="18"/>
                <w:szCs w:val="18"/>
              </w:rPr>
              <w:t>运维服务</w:t>
            </w:r>
          </w:p>
        </w:tc>
        <w:tc>
          <w:tcPr>
            <w:tcW w:w="6022" w:type="dxa"/>
            <w:vAlign w:val="center"/>
          </w:tcPr>
          <w:p w:rsidR="00334309" w:rsidRDefault="00334309" w:rsidP="002547D5">
            <w:pPr>
              <w:rPr>
                <w:rFonts w:hAnsi="宋体"/>
                <w:bCs/>
                <w:sz w:val="18"/>
                <w:szCs w:val="18"/>
              </w:rPr>
            </w:pPr>
            <w:r>
              <w:rPr>
                <w:rFonts w:hAnsi="宋体" w:hint="eastAsia"/>
                <w:bCs/>
                <w:sz w:val="18"/>
                <w:szCs w:val="18"/>
              </w:rPr>
              <w:t>8</w:t>
            </w:r>
            <w:r>
              <w:rPr>
                <w:rFonts w:hAnsi="宋体"/>
                <w:bCs/>
                <w:sz w:val="18"/>
                <w:szCs w:val="18"/>
              </w:rPr>
              <w:t>.1</w:t>
            </w:r>
            <w:r>
              <w:rPr>
                <w:rFonts w:hAnsi="宋体" w:hint="eastAsia"/>
                <w:bCs/>
                <w:sz w:val="18"/>
                <w:szCs w:val="18"/>
              </w:rPr>
              <w:t>对原有财务管理业务系统相关模块一年期的运行维护服务。</w:t>
            </w:r>
          </w:p>
          <w:p w:rsidR="00334309" w:rsidRDefault="00334309" w:rsidP="002547D5">
            <w:pPr>
              <w:rPr>
                <w:rFonts w:hAnsi="宋体"/>
                <w:bCs/>
                <w:sz w:val="18"/>
                <w:szCs w:val="18"/>
              </w:rPr>
            </w:pPr>
            <w:r>
              <w:rPr>
                <w:rFonts w:hAnsi="宋体"/>
                <w:bCs/>
                <w:sz w:val="18"/>
                <w:szCs w:val="18"/>
              </w:rPr>
              <w:t>8.2</w:t>
            </w:r>
            <w:r>
              <w:rPr>
                <w:rFonts w:hAnsi="宋体" w:hint="eastAsia"/>
                <w:bCs/>
                <w:sz w:val="18"/>
                <w:szCs w:val="18"/>
              </w:rPr>
              <w:t>对新升级开发的业务系统相关模块一年期的运行维护服务。</w:t>
            </w:r>
          </w:p>
        </w:tc>
      </w:tr>
    </w:tbl>
    <w:p w:rsidR="00334309" w:rsidRDefault="00334309" w:rsidP="00334309">
      <w:pPr>
        <w:spacing w:line="360" w:lineRule="auto"/>
        <w:rPr>
          <w:b/>
          <w:snapToGrid w:val="0"/>
          <w:kern w:val="0"/>
          <w:sz w:val="24"/>
        </w:rPr>
      </w:pPr>
      <w:r>
        <w:rPr>
          <w:b/>
          <w:snapToGrid w:val="0"/>
          <w:kern w:val="0"/>
          <w:sz w:val="24"/>
        </w:rPr>
        <w:br w:type="page"/>
      </w:r>
    </w:p>
    <w:p w:rsidR="00E34D08" w:rsidRPr="00334309" w:rsidRDefault="00E34D08" w:rsidP="00F15852"/>
    <w:sectPr w:rsidR="00E34D08" w:rsidRPr="00334309" w:rsidSect="00334309">
      <w:footerReference w:type="default" r:id="rId7"/>
      <w:pgSz w:w="11907" w:h="16840"/>
      <w:pgMar w:top="1474" w:right="1418" w:bottom="1247" w:left="1418" w:header="850"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334309"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334309">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334309">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AE01B4"/>
    <w:multiLevelType w:val="singleLevel"/>
    <w:tmpl w:val="91AE01B4"/>
    <w:lvl w:ilvl="0">
      <w:start w:val="1"/>
      <w:numFmt w:val="chineseCounting"/>
      <w:suff w:val="nothing"/>
      <w:lvlText w:val="%1、"/>
      <w:lvlJc w:val="left"/>
      <w:rPr>
        <w:rFonts w:hint="eastAsia"/>
      </w:rPr>
    </w:lvl>
  </w:abstractNum>
  <w:abstractNum w:abstractNumId="1"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2"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3"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4"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5" w15:restartNumberingAfterBreak="0">
    <w:nsid w:val="03533697"/>
    <w:multiLevelType w:val="hybridMultilevel"/>
    <w:tmpl w:val="9F5C3AFC"/>
    <w:lvl w:ilvl="0" w:tplc="2B2C8B32">
      <w:start w:val="7"/>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6"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0A661843"/>
    <w:multiLevelType w:val="multilevel"/>
    <w:tmpl w:val="0A661843"/>
    <w:lvl w:ilvl="0">
      <w:start w:val="1"/>
      <w:numFmt w:val="decimalEnclosedCircle"/>
      <w:lvlText w:val="%1"/>
      <w:lvlJc w:val="left"/>
      <w:pPr>
        <w:tabs>
          <w:tab w:val="left" w:pos="1440"/>
        </w:tabs>
        <w:ind w:left="1440" w:hanging="360"/>
      </w:pPr>
      <w:rPr>
        <w:rFonts w:hint="default"/>
        <w:color w:val="auto"/>
        <w:sz w:val="21"/>
        <w:szCs w:val="21"/>
      </w:rPr>
    </w:lvl>
    <w:lvl w:ilvl="1">
      <w:start w:val="1"/>
      <w:numFmt w:val="decimal"/>
      <w:lvlText w:val="%2）"/>
      <w:lvlJc w:val="left"/>
      <w:pPr>
        <w:tabs>
          <w:tab w:val="left" w:pos="1860"/>
        </w:tabs>
        <w:ind w:left="1860" w:hanging="360"/>
      </w:pPr>
      <w:rPr>
        <w:rFonts w:hAnsi="宋体" w:hint="default"/>
      </w:rPr>
    </w:lvl>
    <w:lvl w:ilvl="2">
      <w:start w:val="4"/>
      <w:numFmt w:val="decimal"/>
      <w:lvlText w:val="%3、"/>
      <w:lvlJc w:val="left"/>
      <w:pPr>
        <w:tabs>
          <w:tab w:val="left" w:pos="2280"/>
        </w:tabs>
        <w:ind w:left="2280" w:hanging="360"/>
      </w:pPr>
      <w:rPr>
        <w:rFonts w:ascii="Times New Roman" w:hint="default"/>
        <w:color w:val="000000"/>
      </w:r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8"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13BB7"/>
    <w:multiLevelType w:val="multilevel"/>
    <w:tmpl w:val="0A661843"/>
    <w:lvl w:ilvl="0">
      <w:start w:val="1"/>
      <w:numFmt w:val="decimalEnclosedCircle"/>
      <w:lvlText w:val="%1"/>
      <w:lvlJc w:val="left"/>
      <w:pPr>
        <w:tabs>
          <w:tab w:val="left" w:pos="1440"/>
        </w:tabs>
        <w:ind w:left="1440" w:hanging="360"/>
      </w:pPr>
      <w:rPr>
        <w:rFonts w:hint="default"/>
        <w:color w:val="auto"/>
        <w:sz w:val="21"/>
        <w:szCs w:val="21"/>
      </w:rPr>
    </w:lvl>
    <w:lvl w:ilvl="1">
      <w:start w:val="1"/>
      <w:numFmt w:val="decimal"/>
      <w:lvlText w:val="%2）"/>
      <w:lvlJc w:val="left"/>
      <w:pPr>
        <w:tabs>
          <w:tab w:val="left" w:pos="1860"/>
        </w:tabs>
        <w:ind w:left="1860" w:hanging="360"/>
      </w:pPr>
      <w:rPr>
        <w:rFonts w:hAnsi="宋体" w:hint="default"/>
      </w:rPr>
    </w:lvl>
    <w:lvl w:ilvl="2">
      <w:start w:val="4"/>
      <w:numFmt w:val="decimal"/>
      <w:lvlText w:val="%3、"/>
      <w:lvlJc w:val="left"/>
      <w:pPr>
        <w:tabs>
          <w:tab w:val="left" w:pos="2280"/>
        </w:tabs>
        <w:ind w:left="2280" w:hanging="360"/>
      </w:pPr>
      <w:rPr>
        <w:rFonts w:ascii="Times New Roman" w:hint="default"/>
        <w:color w:val="000000"/>
      </w:r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10" w15:restartNumberingAfterBreak="0">
    <w:nsid w:val="314F5D9D"/>
    <w:multiLevelType w:val="hybridMultilevel"/>
    <w:tmpl w:val="580A02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2" w15:restartNumberingAfterBreak="0">
    <w:nsid w:val="555E49D9"/>
    <w:multiLevelType w:val="multilevel"/>
    <w:tmpl w:val="0A661843"/>
    <w:lvl w:ilvl="0">
      <w:start w:val="1"/>
      <w:numFmt w:val="decimalEnclosedCircle"/>
      <w:lvlText w:val="%1"/>
      <w:lvlJc w:val="left"/>
      <w:pPr>
        <w:tabs>
          <w:tab w:val="left" w:pos="1440"/>
        </w:tabs>
        <w:ind w:left="1440" w:hanging="360"/>
      </w:pPr>
      <w:rPr>
        <w:rFonts w:hint="default"/>
        <w:color w:val="auto"/>
        <w:sz w:val="21"/>
        <w:szCs w:val="21"/>
      </w:rPr>
    </w:lvl>
    <w:lvl w:ilvl="1">
      <w:start w:val="1"/>
      <w:numFmt w:val="decimal"/>
      <w:lvlText w:val="%2）"/>
      <w:lvlJc w:val="left"/>
      <w:pPr>
        <w:tabs>
          <w:tab w:val="left" w:pos="1860"/>
        </w:tabs>
        <w:ind w:left="1860" w:hanging="360"/>
      </w:pPr>
      <w:rPr>
        <w:rFonts w:hAnsi="宋体" w:hint="default"/>
      </w:rPr>
    </w:lvl>
    <w:lvl w:ilvl="2">
      <w:start w:val="4"/>
      <w:numFmt w:val="decimal"/>
      <w:lvlText w:val="%3、"/>
      <w:lvlJc w:val="left"/>
      <w:pPr>
        <w:tabs>
          <w:tab w:val="left" w:pos="2280"/>
        </w:tabs>
        <w:ind w:left="2280" w:hanging="360"/>
      </w:pPr>
      <w:rPr>
        <w:rFonts w:ascii="Times New Roman" w:hint="default"/>
        <w:color w:val="000000"/>
      </w:r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13"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4" w15:restartNumberingAfterBreak="0">
    <w:nsid w:val="56715193"/>
    <w:multiLevelType w:val="singleLevel"/>
    <w:tmpl w:val="56715193"/>
    <w:lvl w:ilvl="0">
      <w:start w:val="1"/>
      <w:numFmt w:val="decimal"/>
      <w:suff w:val="nothing"/>
      <w:lvlText w:val="%1、"/>
      <w:lvlJc w:val="left"/>
    </w:lvl>
  </w:abstractNum>
  <w:abstractNum w:abstractNumId="15" w15:restartNumberingAfterBreak="0">
    <w:nsid w:val="5671600B"/>
    <w:multiLevelType w:val="singleLevel"/>
    <w:tmpl w:val="5671600B"/>
    <w:lvl w:ilvl="0">
      <w:start w:val="1"/>
      <w:numFmt w:val="decimal"/>
      <w:suff w:val="nothing"/>
      <w:lvlText w:val="%1、"/>
      <w:lvlJc w:val="left"/>
    </w:lvl>
  </w:abstractNum>
  <w:abstractNum w:abstractNumId="16" w15:restartNumberingAfterBreak="0">
    <w:nsid w:val="5671644C"/>
    <w:multiLevelType w:val="singleLevel"/>
    <w:tmpl w:val="5671644C"/>
    <w:lvl w:ilvl="0">
      <w:start w:val="1"/>
      <w:numFmt w:val="decimal"/>
      <w:suff w:val="nothing"/>
      <w:lvlText w:val="%1、"/>
      <w:lvlJc w:val="left"/>
    </w:lvl>
  </w:abstractNum>
  <w:abstractNum w:abstractNumId="17" w15:restartNumberingAfterBreak="0">
    <w:nsid w:val="56716F64"/>
    <w:multiLevelType w:val="singleLevel"/>
    <w:tmpl w:val="56716F64"/>
    <w:lvl w:ilvl="0">
      <w:start w:val="1"/>
      <w:numFmt w:val="decimal"/>
      <w:suff w:val="nothing"/>
      <w:lvlText w:val="%1、"/>
      <w:lvlJc w:val="left"/>
    </w:lvl>
  </w:abstractNum>
  <w:abstractNum w:abstractNumId="18"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20"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21"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3" w15:restartNumberingAfterBreak="0">
    <w:nsid w:val="6D250264"/>
    <w:multiLevelType w:val="singleLevel"/>
    <w:tmpl w:val="6D250264"/>
    <w:lvl w:ilvl="0">
      <w:start w:val="2"/>
      <w:numFmt w:val="chineseCounting"/>
      <w:suff w:val="nothing"/>
      <w:lvlText w:val="%1、"/>
      <w:lvlJc w:val="left"/>
      <w:rPr>
        <w:rFonts w:hint="eastAsia"/>
      </w:rPr>
    </w:lvl>
  </w:abstractNum>
  <w:abstractNum w:abstractNumId="24"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2"/>
  </w:num>
  <w:num w:numId="2">
    <w:abstractNumId w:val="21"/>
  </w:num>
  <w:num w:numId="3">
    <w:abstractNumId w:val="18"/>
  </w:num>
  <w:num w:numId="4">
    <w:abstractNumId w:val="6"/>
  </w:num>
  <w:num w:numId="5">
    <w:abstractNumId w:val="19"/>
  </w:num>
  <w:num w:numId="6">
    <w:abstractNumId w:val="20"/>
  </w:num>
  <w:num w:numId="7">
    <w:abstractNumId w:val="4"/>
  </w:num>
  <w:num w:numId="8">
    <w:abstractNumId w:val="11"/>
  </w:num>
  <w:num w:numId="9">
    <w:abstractNumId w:val="2"/>
  </w:num>
  <w:num w:numId="10">
    <w:abstractNumId w:val="3"/>
  </w:num>
  <w:num w:numId="11">
    <w:abstractNumId w:val="1"/>
  </w:num>
  <w:num w:numId="12">
    <w:abstractNumId w:val="25"/>
  </w:num>
  <w:num w:numId="13">
    <w:abstractNumId w:val="8"/>
  </w:num>
  <w:num w:numId="14">
    <w:abstractNumId w:val="24"/>
  </w:num>
  <w:num w:numId="15">
    <w:abstractNumId w:val="13"/>
  </w:num>
  <w:num w:numId="16">
    <w:abstractNumId w:val="14"/>
  </w:num>
  <w:num w:numId="17">
    <w:abstractNumId w:val="15"/>
  </w:num>
  <w:num w:numId="18">
    <w:abstractNumId w:val="16"/>
  </w:num>
  <w:num w:numId="19">
    <w:abstractNumId w:val="17"/>
  </w:num>
  <w:num w:numId="20">
    <w:abstractNumId w:val="5"/>
  </w:num>
  <w:num w:numId="21">
    <w:abstractNumId w:val="7"/>
  </w:num>
  <w:num w:numId="22">
    <w:abstractNumId w:val="10"/>
  </w:num>
  <w:num w:numId="23">
    <w:abstractNumId w:val="9"/>
  </w:num>
  <w:num w:numId="24">
    <w:abstractNumId w:val="12"/>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1294F"/>
    <w:rsid w:val="00035FDC"/>
    <w:rsid w:val="000E0AD6"/>
    <w:rsid w:val="000E24B2"/>
    <w:rsid w:val="001E13C0"/>
    <w:rsid w:val="00334309"/>
    <w:rsid w:val="00374611"/>
    <w:rsid w:val="00391D2A"/>
    <w:rsid w:val="00584311"/>
    <w:rsid w:val="0087030C"/>
    <w:rsid w:val="00914F23"/>
    <w:rsid w:val="00AC2812"/>
    <w:rsid w:val="00AE721F"/>
    <w:rsid w:val="00B52D07"/>
    <w:rsid w:val="00BD3F95"/>
    <w:rsid w:val="00BE7455"/>
    <w:rsid w:val="00D71CF8"/>
    <w:rsid w:val="00D86C0D"/>
    <w:rsid w:val="00DF745D"/>
    <w:rsid w:val="00E34658"/>
    <w:rsid w:val="00E34D08"/>
    <w:rsid w:val="00F07B67"/>
    <w:rsid w:val="00F15852"/>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1">
    <w:name w:val="heading 1"/>
    <w:basedOn w:val="a"/>
    <w:next w:val="a"/>
    <w:link w:val="10"/>
    <w:uiPriority w:val="9"/>
    <w:qFormat/>
    <w:rsid w:val="00F1585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3">
    <w:name w:val="heading 3"/>
    <w:aliases w:val="H3,l3,CT,h3,3rd level,Level 3 Head,Heading 3 - old,ISO2,L3,sect1.2.3,sect1.2.31,sect1.2.32,sect1.2.311,sect1.2.33,sect1.2.312,3,sl3,Heading 3under,- Maj Side,BOD 0,Bold Head,bh,heading 3,level_3,PIM 3,prop3,3heading,Heading 31,Head 3,HeadC,h31,31"/>
    <w:basedOn w:val="a"/>
    <w:next w:val="a"/>
    <w:link w:val="30"/>
    <w:qFormat/>
    <w:rsid w:val="00F15852"/>
    <w:pPr>
      <w:keepNext/>
      <w:keepLines/>
      <w:spacing w:before="260" w:after="260" w:line="416" w:lineRule="auto"/>
      <w:outlineLvl w:val="2"/>
    </w:pPr>
    <w:rPr>
      <w:rFonts w:ascii="Times New Roman" w:hAnsi="Times New Roman"/>
      <w:b/>
      <w:bCs/>
      <w:sz w:val="32"/>
      <w:szCs w:val="32"/>
      <w:lang w:val="x-none" w:eastAsia="x-none"/>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character" w:customStyle="1" w:styleId="10">
    <w:name w:val="标题 1 字符"/>
    <w:basedOn w:val="a0"/>
    <w:link w:val="1"/>
    <w:uiPriority w:val="9"/>
    <w:rsid w:val="00F15852"/>
    <w:rPr>
      <w:rFonts w:ascii="Calibri" w:eastAsia="宋体" w:hAnsi="Calibri" w:cs="Times New Roman"/>
      <w:b/>
      <w:bCs/>
      <w:kern w:val="44"/>
      <w:sz w:val="44"/>
      <w:szCs w:val="44"/>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a0"/>
    <w:link w:val="3"/>
    <w:qFormat/>
    <w:rsid w:val="00F15852"/>
    <w:rPr>
      <w:rFonts w:ascii="Times New Roman" w:eastAsia="宋体" w:hAnsi="Times New Roman"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798</Words>
  <Characters>4549</Characters>
  <Application>Microsoft Office Word</Application>
  <DocSecurity>0</DocSecurity>
  <Lines>37</Lines>
  <Paragraphs>10</Paragraphs>
  <ScaleCrop>false</ScaleCrop>
  <Company>china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24</cp:revision>
  <dcterms:created xsi:type="dcterms:W3CDTF">2018-07-14T05:06:00Z</dcterms:created>
  <dcterms:modified xsi:type="dcterms:W3CDTF">2019-05-22T02:52:00Z</dcterms:modified>
</cp:coreProperties>
</file>