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11" w:rsidRDefault="00374611" w:rsidP="00374611">
      <w:pPr>
        <w:keepNext/>
        <w:keepLines/>
        <w:spacing w:before="260" w:after="260" w:line="413" w:lineRule="auto"/>
        <w:jc w:val="center"/>
        <w:outlineLvl w:val="1"/>
        <w:rPr>
          <w:rFonts w:ascii="Times New Roman" w:eastAsia="黑体" w:hAnsi="Times New Roman" w:cs="Times New Roman"/>
          <w:b/>
          <w:sz w:val="32"/>
        </w:rPr>
      </w:pPr>
      <w:bookmarkStart w:id="0" w:name="_Toc531772066"/>
      <w:r w:rsidRPr="00374611">
        <w:rPr>
          <w:rFonts w:ascii="Times New Roman" w:eastAsia="黑体" w:hAnsi="Times New Roman" w:cs="Times New Roman" w:hint="eastAsia"/>
          <w:b/>
          <w:sz w:val="32"/>
        </w:rPr>
        <w:t>第六章　项目采购需求</w:t>
      </w:r>
      <w:bookmarkEnd w:id="0"/>
    </w:p>
    <w:p w:rsidR="00B663E8" w:rsidRPr="00022F7B" w:rsidRDefault="00B663E8" w:rsidP="00B663E8">
      <w:pPr>
        <w:spacing w:line="360" w:lineRule="auto"/>
        <w:rPr>
          <w:rFonts w:ascii="新宋体" w:eastAsia="新宋体" w:hAnsi="新宋体"/>
          <w:b/>
          <w:szCs w:val="21"/>
        </w:rPr>
      </w:pPr>
      <w:r w:rsidRPr="00022F7B">
        <w:rPr>
          <w:rFonts w:ascii="新宋体" w:eastAsia="新宋体" w:hAnsi="新宋体" w:hint="eastAsia"/>
          <w:b/>
          <w:szCs w:val="21"/>
        </w:rPr>
        <w:t>一、项目背景</w:t>
      </w:r>
    </w:p>
    <w:p w:rsidR="00B663E8" w:rsidRPr="008329B0" w:rsidRDefault="00B663E8" w:rsidP="00B663E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329B0">
        <w:rPr>
          <w:rFonts w:ascii="新宋体" w:eastAsia="新宋体" w:hAnsi="新宋体" w:hint="eastAsia"/>
          <w:szCs w:val="21"/>
        </w:rPr>
        <w:t>深圳市信息安全测评中心需采购两套漏洞扫描工具用于安全测评；财政预算限额：4</w:t>
      </w:r>
      <w:r w:rsidRPr="008329B0">
        <w:rPr>
          <w:rFonts w:ascii="新宋体" w:eastAsia="新宋体" w:hAnsi="新宋体"/>
          <w:szCs w:val="21"/>
        </w:rPr>
        <w:t>0</w:t>
      </w:r>
      <w:r w:rsidRPr="008329B0">
        <w:rPr>
          <w:rFonts w:ascii="新宋体" w:eastAsia="新宋体" w:hAnsi="新宋体" w:hint="eastAsia"/>
          <w:szCs w:val="21"/>
        </w:rPr>
        <w:t>万元。</w:t>
      </w:r>
    </w:p>
    <w:p w:rsidR="00B663E8" w:rsidRPr="00022F7B" w:rsidRDefault="00B663E8" w:rsidP="00B663E8">
      <w:pPr>
        <w:spacing w:line="360" w:lineRule="auto"/>
        <w:rPr>
          <w:rFonts w:ascii="新宋体" w:eastAsia="新宋体" w:hAnsi="新宋体"/>
          <w:b/>
          <w:szCs w:val="21"/>
        </w:rPr>
      </w:pPr>
      <w:r w:rsidRPr="00022F7B">
        <w:rPr>
          <w:rFonts w:ascii="新宋体" w:eastAsia="新宋体" w:hAnsi="新宋体" w:hint="eastAsia"/>
          <w:b/>
          <w:szCs w:val="21"/>
        </w:rPr>
        <w:t>二、技术需求</w:t>
      </w:r>
    </w:p>
    <w:tbl>
      <w:tblPr>
        <w:tblW w:w="10774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B663E8" w:rsidRPr="008329B0" w:rsidTr="00A8473D">
        <w:trPr>
          <w:tblCellSpacing w:w="0" w:type="dxa"/>
          <w:jc w:val="center"/>
        </w:trPr>
        <w:tc>
          <w:tcPr>
            <w:tcW w:w="10774" w:type="dxa"/>
            <w:vAlign w:val="center"/>
            <w:hideMark/>
          </w:tcPr>
          <w:tbl>
            <w:tblPr>
              <w:tblW w:w="91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8505"/>
            </w:tblGrid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序号</w:t>
                  </w: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ind w:rightChars="488" w:right="1025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/>
                      <w:szCs w:val="21"/>
                    </w:rPr>
                    <w:t>功能参数</w:t>
                  </w:r>
                </w:p>
              </w:tc>
            </w:tr>
            <w:tr w:rsidR="00B663E8" w:rsidRPr="008329B0" w:rsidTr="00A8473D">
              <w:trPr>
                <w:trHeight w:val="1524"/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▲便携设备，</w:t>
                  </w:r>
                  <w:proofErr w:type="gramStart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含交流单</w:t>
                  </w:r>
                  <w:proofErr w:type="gramEnd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电源，1*RJ45串口，1*GE管理口，4个10M/100M/1000M自适应</w:t>
                  </w:r>
                  <w:proofErr w:type="gramStart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以太网电口扫描</w:t>
                  </w:r>
                  <w:proofErr w:type="gramEnd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 xml:space="preserve">口，标准配置提供1路授权扫描端口。支持IPv4和IPv6环境的部署和扫描，允许最大并发扫描≥30个IP地址，允许最大并发任务≥5个任务，支持无限个IP授权扫描。开启全插件漏洞扫描、弱口令探测和登陆扫描后扫描速度不低于400 </w:t>
                  </w:r>
                  <w:proofErr w:type="spellStart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ip</w:t>
                  </w:r>
                  <w:proofErr w:type="spellEnd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/h。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▲支持检测的漏洞数大于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40000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条，兼容CVE、CNCVE、CNNVD、CNVD、</w:t>
                  </w:r>
                  <w:proofErr w:type="spellStart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Bugtraq</w:t>
                  </w:r>
                  <w:proofErr w:type="spellEnd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等主流标准，并提供CVE Compatible证书。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▲产品支持通过多种维度对漏洞进行检索，包括：CVE ID、BUGTRAQ ID、CNCVE ID、CNVD ID、CNNVD ID、MS 编号、风险等级、漏洞名称、是否使用危险插件、漏洞发布日期等信息。提供截图证明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提供高级漏洞模板过滤器，支持将符合筛选条件的漏洞自动加入到自定义漏洞模板中，及后续插件升级包中的漏洞也可以自动加入到模板中。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内置不同的漏洞模板针对Unix、Windows操作系统、网络设备和防火墙等模板，同时支持用户自定义扫描范围和扫描策略；支持自动模板匹配技术。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支持扫描主流虚拟机管理系统的安全漏洞，如：</w:t>
                  </w:r>
                  <w:proofErr w:type="spellStart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VMWareESX</w:t>
                  </w:r>
                  <w:proofErr w:type="spellEnd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/</w:t>
                  </w:r>
                  <w:proofErr w:type="spellStart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ESXi</w:t>
                  </w:r>
                  <w:proofErr w:type="spellEnd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，要求能够扫描大于300条相关漏洞。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具备单独口令猜测扫描任务，支持多种口令猜测方式，包括利用SMB、TELNET、FTP、SSH、POP3、TOMCAT、SQL SERVER、MYSQL、ORACLE、SYBASE、DB2、SNMP等协议进行口令猜测，允许外挂用户提供的用户名字典、密码字典和用户名密码组合字典。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支持立即执行、定时执行、周期执行扫描任务，自定义的周期时间可精确至每*月第*个星期*的*点*分。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提供通过资产树对资产进行分级管理，支持设备权重设置和可信设备登记，支持将资产信息批量导入到资产树，可在资产树上直接指定主机开展扫描任务。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可以通过多种维度搜索定位资产和查看资产风险，包括并不限于：节点或设备名称、资产IP范围、资产管理员、资产操作系统类型、资产风险等级、漏洞名称、开放的端口、资产banner信息等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 xml:space="preserve"> 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支持风险告警和风险闭环处理，可在集中告警平台灵活配置告警内容、告警方式、告警资产范围等，支持邮件和页面告警，支持单个或批量修改风险状态。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▲可扩展支持等级保护配置核查，支持与堡垒机联动。提供配置截图。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支持和微软WSUS补丁系统的联动，能够在发给主机管理员的邮件中附带自动配置WSUS的注册表文件，方便进行自动化的补丁修补。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▲支持与防火墙（NF）联动，扫描器定期将漏洞推送至防火墙，通过防火墙可查看扫描器上报的内部资产漏洞的拦截情况。可以展示每个资产的漏洞数及已防护漏洞数，并且可以展示出高、中、低漏洞的数量，并且能够展示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已防护漏洞风险数量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；提供配置截图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▲可扩展支持配置扫描功能、web漏洞扫描功能，并在同一界面、同一账号实现登录，并同一报表上展现漏洞扫描结果和配置核查结果，非采用单点登录方式或非三种系统（将系统漏扫、配置核查系统、web漏扫系统集成在一台设备上，三个独立界面）方式实现，提供相关配置截图；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内置加固知识库，覆盖常见的window和</w:t>
                  </w:r>
                  <w:proofErr w:type="spellStart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linux</w:t>
                  </w:r>
                  <w:proofErr w:type="spellEnd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等系统，内置丰富的加固点击加固操作步骤，并对加固点配置风险值；加固知识库按照高中低分类。内置不少于280条知识点；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支持通过仪表盘直观展示资产风险值、主机风险等级分布、资产风险趋势、资产风险分布趋势等内容，并可查看详情。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支持将按IP范围、起止时间、任务名称、任务状态、漏洞模板、用户等筛选扫描任务,并对筛选结果进行汇总,和生成在线及离线报表。</w:t>
                  </w:r>
                </w:p>
              </w:tc>
            </w:tr>
            <w:tr w:rsidR="00B663E8" w:rsidRPr="008329B0" w:rsidTr="00A8473D">
              <w:trPr>
                <w:trHeight w:val="744"/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提供备份恢复机制，能够对扫描结果、扫描模板、参数集等配置文件进行导出和导入操作；能够对系统创建还原点对系统进行备份和还原。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提供系统快照功能，当系统出现问题时，可以通过恢复快照，一次性将系统恢复到快照时的版本，并将用户数据一同恢复。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▲产品在IDC市场调查数据中需要在201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1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-201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7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年连续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7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年市场占有率排名在前3名之内。须提供市场占有率排名证明材料。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▲产品至少两年入选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Gartner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魔力象限（应用程序安全性测试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(AST)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领域），须提供盖章证明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材料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cs="Arial"/>
                      <w:szCs w:val="21"/>
                    </w:rPr>
                    <w:t>▲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产品取得公安部颁发的《计算机信息系统安全专用产品销售许可证(增强级)》，提供产品有效证书的复印件。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cs="Arial"/>
                      <w:szCs w:val="21"/>
                    </w:rPr>
                    <w:t>▲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产品取得中国信息安全测评中心颁发的《国家信息安全测评信息技术产品安全测评证书(EAL3+级)》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产品取得中国网络安全审查技术与认证中心（原中国信息安全认证中心）颁发的《中国国家信息安全产品认证证书(增强级)》(CCC证书)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cs="Arial"/>
                      <w:szCs w:val="21"/>
                    </w:rPr>
                    <w:t>▲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产品最少通过一次国际权威认--</w:t>
                  </w:r>
                  <w:proofErr w:type="spellStart"/>
                  <w:r w:rsidRPr="00022F7B">
                    <w:rPr>
                      <w:rFonts w:ascii="新宋体" w:eastAsia="新宋体" w:hAnsi="新宋体"/>
                      <w:szCs w:val="21"/>
                    </w:rPr>
                    <w:t>westcoast</w:t>
                  </w:r>
                  <w:proofErr w:type="spellEnd"/>
                  <w:r w:rsidRPr="00022F7B">
                    <w:rPr>
                      <w:rFonts w:ascii="新宋体" w:eastAsia="新宋体" w:hAnsi="新宋体"/>
                      <w:szCs w:val="21"/>
                    </w:rPr>
                    <w:t> labs Checkmark测试认证,提供</w:t>
                  </w:r>
                  <w:proofErr w:type="spellStart"/>
                  <w:r w:rsidRPr="00022F7B">
                    <w:rPr>
                      <w:rFonts w:ascii="新宋体" w:eastAsia="新宋体" w:hAnsi="新宋体"/>
                      <w:szCs w:val="21"/>
                    </w:rPr>
                    <w:t>westcoast</w:t>
                  </w:r>
                  <w:proofErr w:type="spellEnd"/>
                  <w:r w:rsidRPr="00022F7B">
                    <w:rPr>
                      <w:rFonts w:ascii="新宋体" w:eastAsia="新宋体" w:hAnsi="新宋体"/>
                      <w:szCs w:val="21"/>
                    </w:rPr>
                    <w:t xml:space="preserve"> labs Checkmark证书复印件。 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cs="Arial"/>
                      <w:szCs w:val="21"/>
                    </w:rPr>
                    <w:t>▲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提供产品厂商与漏洞扫描相关的公开专利，数量不少于</w:t>
                  </w:r>
                  <w:r w:rsidRPr="00022F7B">
                    <w:rPr>
                      <w:rFonts w:ascii="新宋体" w:eastAsia="新宋体" w:hAnsi="新宋体"/>
                      <w:szCs w:val="21"/>
                    </w:rPr>
                    <w:t>7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个，提供证明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▲产品厂商为微软MAPP成员，提供证明材料。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cs="Arial"/>
                      <w:szCs w:val="21"/>
                    </w:rPr>
                    <w:t>▲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产品厂商具备漏洞分析、挖掘能力，有获得微软Microsoft Mitigation Bypass Bug Bounty项目奖励不少于6次。提供以上证明材料。</w:t>
                  </w:r>
                </w:p>
              </w:tc>
            </w:tr>
            <w:tr w:rsidR="00B663E8" w:rsidRPr="008329B0" w:rsidTr="00A8473D">
              <w:trPr>
                <w:jc w:val="center"/>
              </w:trPr>
              <w:tc>
                <w:tcPr>
                  <w:tcW w:w="637" w:type="dxa"/>
                  <w:shd w:val="clear" w:color="auto" w:fill="auto"/>
                  <w:vAlign w:val="center"/>
                </w:tcPr>
                <w:p w:rsidR="00B663E8" w:rsidRPr="00022F7B" w:rsidRDefault="00B663E8" w:rsidP="00B663E8">
                  <w:pPr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B663E8" w:rsidRPr="00022F7B" w:rsidRDefault="00B663E8" w:rsidP="00A8473D">
                  <w:pPr>
                    <w:spacing w:line="276" w:lineRule="auto"/>
                    <w:rPr>
                      <w:rFonts w:ascii="新宋体" w:eastAsia="新宋体" w:hAnsi="新宋体"/>
                      <w:szCs w:val="21"/>
                    </w:rPr>
                  </w:pPr>
                  <w:r w:rsidRPr="00022F7B">
                    <w:rPr>
                      <w:rFonts w:ascii="新宋体" w:eastAsia="新宋体" w:hAnsi="新宋体" w:cs="Arial"/>
                      <w:szCs w:val="21"/>
                    </w:rPr>
                    <w:t>▲</w:t>
                  </w:r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厂商具备针对安全事件的远程和现场的</w:t>
                  </w:r>
                  <w:proofErr w:type="gramStart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紧急响应</w:t>
                  </w:r>
                  <w:proofErr w:type="gramEnd"/>
                  <w:r w:rsidRPr="00022F7B">
                    <w:rPr>
                      <w:rFonts w:ascii="新宋体" w:eastAsia="新宋体" w:hAnsi="新宋体" w:hint="eastAsia"/>
                      <w:szCs w:val="21"/>
                    </w:rPr>
                    <w:t>能力及服务能力，获得国家级网络安全应急服务支撑单位证书，提供证书复印件。</w:t>
                  </w:r>
                </w:p>
              </w:tc>
            </w:tr>
          </w:tbl>
          <w:p w:rsidR="00B663E8" w:rsidRPr="008329B0" w:rsidRDefault="00B663E8" w:rsidP="00A8473D">
            <w:pPr>
              <w:widowControl/>
              <w:spacing w:line="360" w:lineRule="auto"/>
              <w:ind w:hanging="720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</w:tbl>
    <w:p w:rsidR="00B663E8" w:rsidRPr="008329B0" w:rsidRDefault="00B663E8" w:rsidP="00B663E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329B0">
        <w:rPr>
          <w:rFonts w:ascii="新宋体" w:eastAsia="新宋体" w:hAnsi="新宋体" w:hint="eastAsia"/>
          <w:szCs w:val="21"/>
        </w:rPr>
        <w:lastRenderedPageBreak/>
        <w:t>说明：投标人须如实填写《技术规格偏离表》，并按招标文件的要求提供相关证明资料，包括产品原厂说明书或产品彩页等。提供的证明资料与投标响应情况不相符的，视为《技术规格偏离表》填写不实。</w:t>
      </w:r>
    </w:p>
    <w:p w:rsidR="00B663E8" w:rsidRPr="00022F7B" w:rsidRDefault="00B663E8" w:rsidP="00B663E8">
      <w:pPr>
        <w:rPr>
          <w:rFonts w:ascii="新宋体" w:eastAsia="新宋体" w:hAnsi="新宋体"/>
          <w:b/>
          <w:szCs w:val="21"/>
        </w:rPr>
      </w:pPr>
      <w:r w:rsidRPr="00022F7B">
        <w:rPr>
          <w:rFonts w:ascii="新宋体" w:eastAsia="新宋体" w:hAnsi="新宋体" w:hint="eastAsia"/>
          <w:b/>
          <w:szCs w:val="21"/>
        </w:rPr>
        <w:lastRenderedPageBreak/>
        <w:t>三、商务需求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559"/>
        <w:gridCol w:w="6920"/>
      </w:tblGrid>
      <w:tr w:rsidR="00B663E8" w:rsidRPr="008329B0" w:rsidTr="00A8473D">
        <w:trPr>
          <w:trHeight w:val="397"/>
          <w:jc w:val="center"/>
        </w:trPr>
        <w:tc>
          <w:tcPr>
            <w:tcW w:w="770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目录</w:t>
            </w:r>
          </w:p>
        </w:tc>
        <w:tc>
          <w:tcPr>
            <w:tcW w:w="6920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招标商务需求</w:t>
            </w:r>
          </w:p>
        </w:tc>
      </w:tr>
      <w:tr w:rsidR="00B663E8" w:rsidRPr="008329B0" w:rsidTr="00A8473D">
        <w:trPr>
          <w:trHeight w:val="280"/>
          <w:jc w:val="center"/>
        </w:trPr>
        <w:tc>
          <w:tcPr>
            <w:tcW w:w="9249" w:type="dxa"/>
            <w:gridSpan w:val="3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（一）免费保修期内售后服务要求</w:t>
            </w:r>
          </w:p>
        </w:tc>
      </w:tr>
      <w:tr w:rsidR="00B663E8" w:rsidRPr="008329B0" w:rsidTr="00A8473D">
        <w:trPr>
          <w:trHeight w:val="150"/>
          <w:jc w:val="center"/>
        </w:trPr>
        <w:tc>
          <w:tcPr>
            <w:tcW w:w="770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免费保修期</w:t>
            </w:r>
          </w:p>
        </w:tc>
        <w:tc>
          <w:tcPr>
            <w:tcW w:w="6920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★货物免费保修期三年，软件系统及漏洞库免费升级期三年，时间</w:t>
            </w:r>
            <w:proofErr w:type="gramStart"/>
            <w:r w:rsidRPr="008329B0">
              <w:rPr>
                <w:rFonts w:ascii="新宋体" w:eastAsia="新宋体" w:hAnsi="新宋体" w:hint="eastAsia"/>
                <w:szCs w:val="21"/>
              </w:rPr>
              <w:t>自最终</w:t>
            </w:r>
            <w:proofErr w:type="gramEnd"/>
            <w:r w:rsidRPr="008329B0">
              <w:rPr>
                <w:rFonts w:ascii="新宋体" w:eastAsia="新宋体" w:hAnsi="新宋体" w:hint="eastAsia"/>
                <w:szCs w:val="21"/>
              </w:rPr>
              <w:t>验收合格并交付使用之日起计算。</w:t>
            </w:r>
          </w:p>
        </w:tc>
      </w:tr>
      <w:tr w:rsidR="00B663E8" w:rsidRPr="008329B0" w:rsidTr="00A8473D">
        <w:trPr>
          <w:trHeight w:val="320"/>
          <w:jc w:val="center"/>
        </w:trPr>
        <w:tc>
          <w:tcPr>
            <w:tcW w:w="770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维修响应及故障解决时间</w:t>
            </w:r>
          </w:p>
        </w:tc>
        <w:tc>
          <w:tcPr>
            <w:tcW w:w="6920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响应时间：在保修期以内，接到用户通知时，专业技术人员不超过</w:t>
            </w:r>
            <w:r w:rsidRPr="008329B0">
              <w:rPr>
                <w:rFonts w:ascii="新宋体" w:eastAsia="新宋体" w:hAnsi="新宋体"/>
                <w:szCs w:val="21"/>
              </w:rPr>
              <w:t>6</w:t>
            </w:r>
            <w:r w:rsidRPr="008329B0">
              <w:rPr>
                <w:rFonts w:ascii="新宋体" w:eastAsia="新宋体" w:hAnsi="新宋体" w:hint="eastAsia"/>
                <w:szCs w:val="21"/>
              </w:rPr>
              <w:t>小时内上门服务，保证24小时不间断售后技术服务支持；修复时间：48小时。</w:t>
            </w:r>
          </w:p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冗余服务：超过48小时后未能修复或紧急情况下，提供具有同样功能的设备供采购人使用。</w:t>
            </w:r>
          </w:p>
        </w:tc>
      </w:tr>
      <w:tr w:rsidR="00B663E8" w:rsidRPr="008329B0" w:rsidTr="00A8473D">
        <w:trPr>
          <w:trHeight w:val="320"/>
          <w:jc w:val="center"/>
        </w:trPr>
        <w:tc>
          <w:tcPr>
            <w:tcW w:w="770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3</w:t>
            </w:r>
          </w:p>
        </w:tc>
        <w:tc>
          <w:tcPr>
            <w:tcW w:w="1559" w:type="dxa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原厂售后承诺</w:t>
            </w:r>
          </w:p>
        </w:tc>
        <w:tc>
          <w:tcPr>
            <w:tcW w:w="6920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329B0">
              <w:rPr>
                <w:rFonts w:ascii="新宋体" w:eastAsia="新宋体" w:hAnsi="新宋体"/>
                <w:szCs w:val="21"/>
              </w:rPr>
              <w:t>▲</w:t>
            </w:r>
            <w:r w:rsidRPr="008329B0">
              <w:rPr>
                <w:rFonts w:ascii="新宋体" w:eastAsia="新宋体" w:hAnsi="新宋体" w:hint="eastAsia"/>
                <w:szCs w:val="21"/>
              </w:rPr>
              <w:t>提供产品原厂商的售后服务承诺，并加盖厂家公章</w:t>
            </w:r>
          </w:p>
        </w:tc>
      </w:tr>
      <w:tr w:rsidR="00B663E8" w:rsidRPr="008329B0" w:rsidTr="00A8473D">
        <w:trPr>
          <w:trHeight w:val="79"/>
          <w:jc w:val="center"/>
        </w:trPr>
        <w:tc>
          <w:tcPr>
            <w:tcW w:w="770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培训</w:t>
            </w:r>
          </w:p>
        </w:tc>
        <w:tc>
          <w:tcPr>
            <w:tcW w:w="6920" w:type="dxa"/>
            <w:vAlign w:val="center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Cs/>
                <w:szCs w:val="21"/>
              </w:rPr>
              <w:t>三年免费保修期内，每年提供一次原厂的设备使用培训</w:t>
            </w:r>
          </w:p>
        </w:tc>
      </w:tr>
      <w:tr w:rsidR="00B663E8" w:rsidRPr="008329B0" w:rsidTr="00A8473D">
        <w:trPr>
          <w:trHeight w:val="280"/>
          <w:jc w:val="center"/>
        </w:trPr>
        <w:tc>
          <w:tcPr>
            <w:tcW w:w="9249" w:type="dxa"/>
            <w:gridSpan w:val="3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（二）免费保修期外售后服务要求（可选）</w:t>
            </w:r>
          </w:p>
        </w:tc>
      </w:tr>
      <w:tr w:rsidR="00B663E8" w:rsidRPr="008329B0" w:rsidTr="00A8473D">
        <w:trPr>
          <w:trHeight w:val="350"/>
          <w:jc w:val="center"/>
        </w:trPr>
        <w:tc>
          <w:tcPr>
            <w:tcW w:w="770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1</w:t>
            </w:r>
          </w:p>
        </w:tc>
        <w:tc>
          <w:tcPr>
            <w:tcW w:w="1559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维修响应及故障解决</w:t>
            </w:r>
          </w:p>
        </w:tc>
        <w:tc>
          <w:tcPr>
            <w:tcW w:w="6920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以合理的价格提供备件和保养服务，当发生故障时，中标供应商须按质保期内同样的要求进行维修处理。</w:t>
            </w:r>
          </w:p>
        </w:tc>
      </w:tr>
      <w:tr w:rsidR="00B663E8" w:rsidRPr="008329B0" w:rsidTr="00A8473D">
        <w:trPr>
          <w:trHeight w:val="350"/>
          <w:jc w:val="center"/>
        </w:trPr>
        <w:tc>
          <w:tcPr>
            <w:tcW w:w="9249" w:type="dxa"/>
            <w:gridSpan w:val="3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（三）其他商务要求</w:t>
            </w:r>
          </w:p>
        </w:tc>
      </w:tr>
      <w:tr w:rsidR="00B663E8" w:rsidRPr="008329B0" w:rsidTr="00A8473D">
        <w:trPr>
          <w:trHeight w:val="350"/>
          <w:jc w:val="center"/>
        </w:trPr>
        <w:tc>
          <w:tcPr>
            <w:tcW w:w="770" w:type="dxa"/>
            <w:vMerge w:val="restart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关于交货</w:t>
            </w:r>
          </w:p>
        </w:tc>
        <w:tc>
          <w:tcPr>
            <w:tcW w:w="6920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Cs/>
                <w:szCs w:val="21"/>
              </w:rPr>
              <w:t>1.1★签订合同后</w:t>
            </w:r>
            <w:r w:rsidRPr="008329B0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</w:t>
            </w:r>
            <w:r w:rsidRPr="008329B0">
              <w:rPr>
                <w:rFonts w:ascii="新宋体" w:eastAsia="新宋体" w:hAnsi="新宋体"/>
                <w:bCs/>
                <w:szCs w:val="21"/>
                <w:u w:val="single"/>
              </w:rPr>
              <w:t>30</w:t>
            </w:r>
            <w:r w:rsidRPr="008329B0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</w:t>
            </w:r>
            <w:r w:rsidRPr="008329B0">
              <w:rPr>
                <w:rFonts w:ascii="新宋体" w:eastAsia="新宋体" w:hAnsi="新宋体" w:hint="eastAsia"/>
                <w:bCs/>
                <w:szCs w:val="21"/>
              </w:rPr>
              <w:t>天（日历日）内。</w:t>
            </w:r>
          </w:p>
        </w:tc>
      </w:tr>
      <w:tr w:rsidR="00B663E8" w:rsidRPr="008329B0" w:rsidTr="00A8473D">
        <w:trPr>
          <w:trHeight w:val="451"/>
          <w:jc w:val="center"/>
        </w:trPr>
        <w:tc>
          <w:tcPr>
            <w:tcW w:w="770" w:type="dxa"/>
            <w:vMerge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20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329B0">
              <w:rPr>
                <w:rFonts w:ascii="新宋体" w:eastAsia="新宋体" w:hAnsi="新宋体" w:hint="eastAsia"/>
                <w:bCs/>
                <w:szCs w:val="21"/>
              </w:rPr>
              <w:t>1.2投标人必须承担的设备运输、安装调试、验收检测和提供设备操作说明书、图纸等其他类似的义务。</w:t>
            </w:r>
          </w:p>
        </w:tc>
      </w:tr>
      <w:tr w:rsidR="00B663E8" w:rsidRPr="008329B0" w:rsidTr="00A8473D">
        <w:trPr>
          <w:trHeight w:val="350"/>
          <w:jc w:val="center"/>
        </w:trPr>
        <w:tc>
          <w:tcPr>
            <w:tcW w:w="770" w:type="dxa"/>
            <w:vMerge w:val="restart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关于验收</w:t>
            </w:r>
          </w:p>
        </w:tc>
        <w:tc>
          <w:tcPr>
            <w:tcW w:w="6920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329B0">
              <w:rPr>
                <w:rFonts w:ascii="新宋体" w:eastAsia="新宋体" w:hAnsi="新宋体" w:hint="eastAsia"/>
                <w:bCs/>
                <w:szCs w:val="21"/>
              </w:rPr>
              <w:t>1.1投标人货物经过双方检验认可后，签署验收报告，产品保修期自验收合格之日起算，由投标人提供产品保修文件。</w:t>
            </w:r>
          </w:p>
        </w:tc>
      </w:tr>
      <w:tr w:rsidR="00B663E8" w:rsidRPr="008329B0" w:rsidTr="00A8473D">
        <w:trPr>
          <w:trHeight w:val="350"/>
          <w:jc w:val="center"/>
        </w:trPr>
        <w:tc>
          <w:tcPr>
            <w:tcW w:w="770" w:type="dxa"/>
            <w:vMerge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559" w:type="dxa"/>
            <w:vMerge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6920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329B0">
              <w:rPr>
                <w:rFonts w:ascii="新宋体" w:eastAsia="新宋体" w:hAnsi="新宋体" w:hint="eastAsia"/>
                <w:bCs/>
                <w:szCs w:val="21"/>
              </w:rPr>
              <w:t>1.2当满足以下条件时，采购人才向中标人签发货物验收报告：</w:t>
            </w:r>
          </w:p>
          <w:p w:rsidR="00B663E8" w:rsidRPr="008329B0" w:rsidRDefault="00B663E8" w:rsidP="00A8473D">
            <w:pPr>
              <w:tabs>
                <w:tab w:val="num" w:pos="1260"/>
              </w:tabs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329B0">
              <w:rPr>
                <w:rFonts w:ascii="新宋体" w:eastAsia="新宋体" w:hAnsi="新宋体"/>
                <w:bCs/>
                <w:szCs w:val="21"/>
              </w:rPr>
              <w:t>a</w:t>
            </w:r>
            <w:r w:rsidRPr="008329B0">
              <w:rPr>
                <w:rFonts w:ascii="新宋体" w:eastAsia="新宋体" w:hAnsi="新宋体" w:hint="eastAsia"/>
                <w:bCs/>
                <w:szCs w:val="21"/>
              </w:rPr>
              <w:t>、中标人已按照合同规定提供了全部产品及完整的技术资料。</w:t>
            </w:r>
          </w:p>
          <w:p w:rsidR="00B663E8" w:rsidRPr="008329B0" w:rsidRDefault="00B663E8" w:rsidP="00A8473D">
            <w:pPr>
              <w:tabs>
                <w:tab w:val="num" w:pos="1260"/>
              </w:tabs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329B0">
              <w:rPr>
                <w:rFonts w:ascii="新宋体" w:eastAsia="新宋体" w:hAnsi="新宋体"/>
                <w:bCs/>
                <w:szCs w:val="21"/>
              </w:rPr>
              <w:t>b</w:t>
            </w:r>
            <w:r w:rsidRPr="008329B0">
              <w:rPr>
                <w:rFonts w:ascii="新宋体" w:eastAsia="新宋体" w:hAnsi="新宋体" w:hint="eastAsia"/>
                <w:bCs/>
                <w:szCs w:val="21"/>
              </w:rPr>
              <w:t>、货物符合招标文件技术规格书的要求，性能满足要求。</w:t>
            </w:r>
          </w:p>
          <w:p w:rsidR="00B663E8" w:rsidRPr="008329B0" w:rsidRDefault="00B663E8" w:rsidP="00A8473D">
            <w:pPr>
              <w:tabs>
                <w:tab w:val="num" w:pos="1260"/>
              </w:tabs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329B0">
              <w:rPr>
                <w:rFonts w:ascii="新宋体" w:eastAsia="新宋体" w:hAnsi="新宋体"/>
                <w:bCs/>
                <w:szCs w:val="21"/>
              </w:rPr>
              <w:t>c</w:t>
            </w:r>
            <w:r w:rsidRPr="008329B0">
              <w:rPr>
                <w:rFonts w:ascii="新宋体" w:eastAsia="新宋体" w:hAnsi="新宋体" w:hint="eastAsia"/>
                <w:bCs/>
                <w:szCs w:val="21"/>
              </w:rPr>
              <w:t>、货物具备产品合格证。</w:t>
            </w:r>
          </w:p>
        </w:tc>
      </w:tr>
      <w:tr w:rsidR="00B663E8" w:rsidRPr="008329B0" w:rsidTr="00A8473D">
        <w:trPr>
          <w:trHeight w:val="350"/>
          <w:jc w:val="center"/>
        </w:trPr>
        <w:tc>
          <w:tcPr>
            <w:tcW w:w="770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B663E8" w:rsidRPr="008329B0" w:rsidRDefault="00B663E8" w:rsidP="00A8473D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329B0">
              <w:rPr>
                <w:rFonts w:ascii="新宋体" w:eastAsia="新宋体" w:hAnsi="新宋体" w:hint="eastAsia"/>
                <w:szCs w:val="21"/>
              </w:rPr>
              <w:t>关于付款</w:t>
            </w:r>
          </w:p>
        </w:tc>
        <w:tc>
          <w:tcPr>
            <w:tcW w:w="6920" w:type="dxa"/>
          </w:tcPr>
          <w:p w:rsidR="00B663E8" w:rsidRPr="008329B0" w:rsidRDefault="00B663E8" w:rsidP="00A8473D">
            <w:pPr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329B0">
              <w:rPr>
                <w:rFonts w:ascii="新宋体" w:eastAsia="新宋体" w:hAnsi="新宋体" w:cs="宋体" w:hint="eastAsia"/>
                <w:kern w:val="0"/>
                <w:szCs w:val="21"/>
              </w:rPr>
              <w:t>合同签订且货物验收合格后，采购方向中标方支付合同总金额的1</w:t>
            </w:r>
            <w:r w:rsidRPr="008329B0">
              <w:rPr>
                <w:rFonts w:ascii="新宋体" w:eastAsia="新宋体" w:hAnsi="新宋体" w:cs="宋体"/>
                <w:kern w:val="0"/>
                <w:szCs w:val="21"/>
              </w:rPr>
              <w:t>00</w:t>
            </w:r>
            <w:r w:rsidRPr="008329B0">
              <w:rPr>
                <w:rFonts w:ascii="新宋体" w:eastAsia="新宋体" w:hAnsi="新宋体" w:cs="宋体" w:hint="eastAsia"/>
                <w:kern w:val="0"/>
                <w:szCs w:val="21"/>
              </w:rPr>
              <w:t>%</w:t>
            </w:r>
          </w:p>
        </w:tc>
      </w:tr>
    </w:tbl>
    <w:p w:rsidR="00B663E8" w:rsidRPr="008329B0" w:rsidRDefault="00B663E8" w:rsidP="00B663E8">
      <w:pPr>
        <w:spacing w:line="360" w:lineRule="auto"/>
        <w:rPr>
          <w:rFonts w:ascii="新宋体" w:eastAsia="新宋体" w:hAnsi="新宋体"/>
          <w:szCs w:val="21"/>
        </w:rPr>
      </w:pPr>
      <w:r w:rsidRPr="008329B0">
        <w:rPr>
          <w:rFonts w:ascii="新宋体" w:eastAsia="新宋体" w:hAnsi="新宋体" w:hint="eastAsia"/>
          <w:szCs w:val="21"/>
        </w:rPr>
        <w:t>备注：</w:t>
      </w:r>
    </w:p>
    <w:p w:rsidR="00B663E8" w:rsidRPr="008329B0" w:rsidRDefault="00B663E8" w:rsidP="00B663E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329B0">
        <w:rPr>
          <w:rFonts w:ascii="新宋体" w:eastAsia="新宋体" w:hAnsi="新宋体" w:hint="eastAsia"/>
          <w:szCs w:val="21"/>
        </w:rPr>
        <w:t xml:space="preserve">1. “（一）免费保修期内售后服务要求”部分，请详细列明免费保修期内的售后服务要求，内容包括但不限于免费保修期限、售后服务人员配备、技术培训方案、质量保证、违约承诺、维修响应及故障解决时间、方案等。 </w:t>
      </w:r>
    </w:p>
    <w:p w:rsidR="00B663E8" w:rsidRPr="008329B0" w:rsidRDefault="00B663E8" w:rsidP="00B663E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329B0">
        <w:rPr>
          <w:rFonts w:ascii="新宋体" w:eastAsia="新宋体" w:hAnsi="新宋体" w:hint="eastAsia"/>
          <w:szCs w:val="21"/>
        </w:rPr>
        <w:t>2. “（二）免费保修期外售后服务要求”部分，请详细列明免费保修期外的售后服务要求，内容包括但不限于零配件的优惠率、维修响应及故障解决时间、方案、提供的服务等。</w:t>
      </w:r>
    </w:p>
    <w:p w:rsidR="00B663E8" w:rsidRPr="008329B0" w:rsidRDefault="00B663E8" w:rsidP="00B663E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8329B0">
        <w:rPr>
          <w:rFonts w:ascii="新宋体" w:eastAsia="新宋体" w:hAnsi="新宋体" w:hint="eastAsia"/>
          <w:szCs w:val="21"/>
        </w:rPr>
        <w:t>3. “（三）其他商务要求”部分，如有补充，请详细列明</w:t>
      </w:r>
    </w:p>
    <w:p w:rsidR="00B25542" w:rsidRPr="00B663E8" w:rsidRDefault="00B25542" w:rsidP="00B25542"/>
    <w:sectPr w:rsidR="00B25542" w:rsidRPr="00B663E8" w:rsidSect="00E34658">
      <w:footerReference w:type="default" r:id="rId7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C27C4D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6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3E92162B"/>
    <w:multiLevelType w:val="multilevel"/>
    <w:tmpl w:val="3E92162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3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74DC7"/>
    <w:rsid w:val="00584311"/>
    <w:rsid w:val="00634E4A"/>
    <w:rsid w:val="0087030C"/>
    <w:rsid w:val="00914F23"/>
    <w:rsid w:val="00AC2812"/>
    <w:rsid w:val="00AE721F"/>
    <w:rsid w:val="00B25542"/>
    <w:rsid w:val="00B52D07"/>
    <w:rsid w:val="00B663E8"/>
    <w:rsid w:val="00BD3F95"/>
    <w:rsid w:val="00BE7455"/>
    <w:rsid w:val="00C27C4D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487</Words>
  <Characters>2781</Characters>
  <Application>Microsoft Office Word</Application>
  <DocSecurity>0</DocSecurity>
  <Lines>23</Lines>
  <Paragraphs>6</Paragraphs>
  <ScaleCrop>false</ScaleCrop>
  <Company>china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25</cp:revision>
  <dcterms:created xsi:type="dcterms:W3CDTF">2018-07-14T05:06:00Z</dcterms:created>
  <dcterms:modified xsi:type="dcterms:W3CDTF">2019-05-20T05:12:00Z</dcterms:modified>
</cp:coreProperties>
</file>