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6" w:rsidRPr="00B14239" w:rsidRDefault="00B25ED6" w:rsidP="00B25ED6">
      <w:pPr>
        <w:pStyle w:val="2"/>
        <w:jc w:val="center"/>
        <w:rPr>
          <w:rFonts w:ascii="Times New Roman" w:hAnsi="Times New Roman"/>
        </w:rPr>
      </w:pPr>
      <w:bookmarkStart w:id="0" w:name="_Toc8866442"/>
      <w:r w:rsidRPr="00B14239">
        <w:rPr>
          <w:rFonts w:ascii="Times New Roman" w:hAnsi="Times New Roman" w:hint="eastAsia"/>
        </w:rPr>
        <w:t>第六章　项目采购需求</w:t>
      </w:r>
      <w:bookmarkEnd w:id="0"/>
    </w:p>
    <w:p w:rsidR="00B25ED6" w:rsidRPr="00B14239" w:rsidRDefault="00B25ED6" w:rsidP="00B25ED6">
      <w:pPr>
        <w:pStyle w:val="2"/>
        <w:spacing w:beforeLines="50" w:before="156" w:afterLines="50" w:after="156"/>
        <w:rPr>
          <w:rFonts w:ascii="新宋体" w:eastAsia="新宋体" w:hAnsi="新宋体"/>
          <w:sz w:val="21"/>
          <w:szCs w:val="21"/>
        </w:rPr>
      </w:pPr>
      <w:r w:rsidRPr="00B14239">
        <w:rPr>
          <w:rFonts w:ascii="新宋体" w:eastAsia="新宋体" w:hAnsi="新宋体" w:hint="eastAsia"/>
          <w:sz w:val="21"/>
          <w:szCs w:val="21"/>
        </w:rPr>
        <w:t>一</w:t>
      </w:r>
      <w:r w:rsidRPr="00B14239">
        <w:rPr>
          <w:rFonts w:ascii="新宋体" w:eastAsia="新宋体" w:hAnsi="新宋体"/>
          <w:sz w:val="21"/>
          <w:szCs w:val="21"/>
        </w:rPr>
        <w:t>、</w:t>
      </w:r>
      <w:r w:rsidRPr="00B14239">
        <w:rPr>
          <w:rFonts w:ascii="新宋体" w:eastAsia="新宋体" w:hAnsi="新宋体" w:hint="eastAsia"/>
          <w:sz w:val="21"/>
          <w:szCs w:val="21"/>
        </w:rPr>
        <w:t>货物</w:t>
      </w:r>
      <w:proofErr w:type="gramStart"/>
      <w:r w:rsidRPr="00B14239">
        <w:rPr>
          <w:rFonts w:ascii="新宋体" w:eastAsia="新宋体" w:hAnsi="新宋体" w:hint="eastAsia"/>
          <w:sz w:val="21"/>
          <w:szCs w:val="21"/>
        </w:rPr>
        <w:t>物</w:t>
      </w:r>
      <w:proofErr w:type="gramEnd"/>
      <w:r w:rsidRPr="00B14239">
        <w:rPr>
          <w:rFonts w:ascii="新宋体" w:eastAsia="新宋体" w:hAnsi="新宋体" w:hint="eastAsia"/>
          <w:sz w:val="21"/>
          <w:szCs w:val="21"/>
        </w:rPr>
        <w:t>清单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5386"/>
        <w:gridCol w:w="1276"/>
        <w:gridCol w:w="1523"/>
      </w:tblGrid>
      <w:tr w:rsidR="00B25ED6" w:rsidRPr="00B14239" w:rsidTr="00E55B4A">
        <w:trPr>
          <w:trHeight w:val="375"/>
          <w:jc w:val="center"/>
        </w:trPr>
        <w:tc>
          <w:tcPr>
            <w:tcW w:w="1044" w:type="dxa"/>
            <w:shd w:val="clear" w:color="000000" w:fill="C0C0C0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5386" w:type="dxa"/>
            <w:shd w:val="clear" w:color="000000" w:fill="C0C0C0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shd w:val="clear" w:color="000000" w:fill="C0C0C0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23" w:type="dxa"/>
            <w:shd w:val="clear" w:color="000000" w:fill="C0C0C0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B25ED6" w:rsidRPr="00B14239" w:rsidTr="00E55B4A">
        <w:trPr>
          <w:trHeight w:val="411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交互智能平板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台</w:t>
            </w:r>
          </w:p>
        </w:tc>
      </w:tr>
      <w:tr w:rsidR="00B25ED6" w:rsidRPr="00B14239" w:rsidTr="00E55B4A">
        <w:trPr>
          <w:trHeight w:val="352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嵌入式主机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台</w:t>
            </w:r>
          </w:p>
        </w:tc>
      </w:tr>
      <w:tr w:rsidR="00B25ED6" w:rsidRPr="00B14239" w:rsidTr="00E55B4A">
        <w:trPr>
          <w:trHeight w:val="279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移动授课助手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套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智能笔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支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有线传屏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proofErr w:type="gramStart"/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个</w:t>
            </w:r>
            <w:proofErr w:type="gramEnd"/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资源管理平台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套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万向黑板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套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网线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1200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米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USB跳线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条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VGA跳线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条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音频跳线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条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线管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800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米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设备拆除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20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套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辅材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项</w:t>
            </w:r>
          </w:p>
        </w:tc>
      </w:tr>
      <w:tr w:rsidR="00B25ED6" w:rsidRPr="00B14239" w:rsidTr="00E55B4A">
        <w:trPr>
          <w:trHeight w:val="383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color w:val="000000"/>
                <w:szCs w:val="21"/>
              </w:rPr>
              <w:t>系统集成费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项</w:t>
            </w:r>
          </w:p>
        </w:tc>
      </w:tr>
    </w:tbl>
    <w:p w:rsidR="00B25ED6" w:rsidRPr="00B14239" w:rsidRDefault="00B25ED6" w:rsidP="00B25ED6"/>
    <w:p w:rsidR="00B25ED6" w:rsidRPr="00B14239" w:rsidRDefault="00B25ED6" w:rsidP="00B25ED6">
      <w:pPr>
        <w:pStyle w:val="2"/>
        <w:spacing w:beforeLines="50" w:before="156" w:afterLines="50" w:after="156"/>
        <w:rPr>
          <w:rFonts w:ascii="等线" w:eastAsia="等线" w:hAnsi="等线"/>
          <w:sz w:val="28"/>
          <w:szCs w:val="28"/>
        </w:rPr>
      </w:pPr>
      <w:r w:rsidRPr="00B14239">
        <w:rPr>
          <w:rFonts w:ascii="新宋体" w:eastAsia="新宋体" w:hAnsi="新宋体" w:hint="eastAsia"/>
          <w:sz w:val="21"/>
          <w:szCs w:val="21"/>
        </w:rPr>
        <w:t>二</w:t>
      </w:r>
      <w:r w:rsidRPr="00B14239">
        <w:rPr>
          <w:rFonts w:ascii="新宋体" w:eastAsia="新宋体" w:hAnsi="新宋体"/>
          <w:sz w:val="21"/>
          <w:szCs w:val="21"/>
        </w:rPr>
        <w:t>、</w:t>
      </w:r>
      <w:r w:rsidRPr="00B14239">
        <w:rPr>
          <w:rFonts w:ascii="新宋体" w:eastAsia="新宋体" w:hAnsi="新宋体" w:hint="eastAsia"/>
          <w:sz w:val="21"/>
          <w:szCs w:val="21"/>
        </w:rPr>
        <w:t>具体技术要求</w:t>
      </w:r>
    </w:p>
    <w:tbl>
      <w:tblPr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1134"/>
        <w:gridCol w:w="7526"/>
      </w:tblGrid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招标要求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kern w:val="0"/>
                <w:szCs w:val="21"/>
              </w:rPr>
              <w:t>交互智能平板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1、整机尺寸≥86英寸；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2、内置一体化设计，外部无任何可见内部功能模块的连接线。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3、轻量化设计，为达到教室墙面的安装要求及安全性，整机重量不超过80KG。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4、</w:t>
            </w:r>
            <w:proofErr w:type="gramStart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触摸框免驱</w:t>
            </w:r>
            <w:proofErr w:type="gramEnd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：支持Windows XP、WIN7、WIN8、WIN8.1、Linux、Mac OSX外置电脑操作系统接入时，无需安装触摸框驱动，红外触摸屏系统通讯端口：USB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整机触摸屏厂家具备自主触摸显示技术，并具备触摸检测技术，保证触摸</w:t>
            </w:r>
            <w:proofErr w:type="gramStart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屏运行</w:t>
            </w:r>
            <w:proofErr w:type="gramEnd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稳定</w:t>
            </w:r>
            <w:r w:rsidRPr="005764C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5、书写方式：手指、触摸笔或非透明物体。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6、具备细笔书写功能：5点细笔（3MM），单点细笔（2MM，精度+-1MM，原笔迹支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lastRenderedPageBreak/>
              <w:t>持2点。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7、整机具备至少3路前置USB接口,且前置USB接口全部支持Windows及Android双系统读取，将U盘插入任意前置USB接口，均能被Windows及Android系统识别，防止老师误操作。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cs="宋体" w:hint="eastAsia"/>
                <w:sz w:val="21"/>
                <w:szCs w:val="21"/>
              </w:rPr>
              <w:t>8、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产品具有六色（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RGBCMY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）色彩提升技术，要求对图像的彩色可以分红（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R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）、绿（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G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）、蓝（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B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 xml:space="preserve"> 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、青（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C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）、品红（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M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）、黄（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Y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）六种彩色分量在不同的亮度层次上对色调、饱和度分别单独的进行调节，可完美还原图像真实色彩（提供国家级权威机构出具的相关证明文件复印件加盖厂家公章）。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9、具备三键合一按钮，</w:t>
            </w:r>
            <w:proofErr w:type="gramStart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短按熄屏，长按</w:t>
            </w:r>
            <w:proofErr w:type="gramEnd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待机，一键开机，PC可单独控制，方便老师使用。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10、有限网络共享：整机可一根网线实现安卓和PC同时上网。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11、遥控器：整机配备遥控器且具备：一键启动白板软件；一键切换分辨率（OPS通道）：一键切换显示模式：一键触摸禁用；PPT翻页；PPT退出等功能。+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▲12、可根据外界环境光亮度和输入信号的变化调整背光灯管亮度，实现优良画质和节电功能，并有效保护师生视力（提供相关证明文件复印件加盖厂家公章证明）。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13、一体机通过抗扭曲度测试、防雷击4级测试，产品在雷雨天气也能正常使用、抗静电干扰测试,确保外连设备间的信号稳定及设备安全。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14、一体机具备高清电视处理技术及自动优化图像运动功能，可有效解决图像抖动问题，保证用户观看使用效果（提供权威第三方检测报告复印件并加盖厂家公章证明）。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15、一体机具备温度实时显示功能可在主页实时监控机内温度，确保使用安全。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整机具备自检功能：具备不少于网络，RTC，温度，光感，触摸，系统存储，OPS等7项检测。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16、为保证产品使用安全性，所投产</w:t>
            </w:r>
            <w:proofErr w:type="gramStart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品具备</w:t>
            </w:r>
            <w:proofErr w:type="gramEnd"/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过载关机功能</w:t>
            </w:r>
            <w:r w:rsidRPr="00B14239">
              <w:rPr>
                <w:rFonts w:ascii="宋体" w:hAnsi="宋体" w:hint="eastAsia"/>
                <w:kern w:val="2"/>
                <w:sz w:val="21"/>
                <w:szCs w:val="21"/>
              </w:rPr>
              <w:t>（提供相关证明材料复印件加盖厂家公章证明）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17、无PC状态下，嵌入式安卓操作系统自带安卓电子白板软件，并具备文件快速分类（文档，图片，视频，音频，安装包），图片预览，倒计时/正计时/自动缩小等功能以满足课堂教学需要，提升老师课堂效率。</w:t>
            </w:r>
          </w:p>
          <w:p w:rsidR="00B25ED6" w:rsidRPr="005764CA" w:rsidRDefault="00B25ED6" w:rsidP="00E55B4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szCs w:val="21"/>
              </w:rPr>
              <w:t>18、产品支持纯硬件高清解码技术，在无</w:t>
            </w:r>
            <w:r w:rsidRPr="005764CA">
              <w:rPr>
                <w:rFonts w:ascii="宋体" w:hAnsi="宋体"/>
                <w:szCs w:val="21"/>
              </w:rPr>
              <w:t xml:space="preserve"> PC </w:t>
            </w:r>
            <w:r w:rsidRPr="005764CA">
              <w:rPr>
                <w:rFonts w:ascii="宋体" w:hAnsi="宋体" w:hint="eastAsia"/>
                <w:szCs w:val="21"/>
              </w:rPr>
              <w:t>状态下支持</w:t>
            </w:r>
            <w:r w:rsidRPr="005764CA">
              <w:rPr>
                <w:rFonts w:ascii="宋体" w:hAnsi="宋体"/>
                <w:szCs w:val="21"/>
              </w:rPr>
              <w:t xml:space="preserve">4K </w:t>
            </w:r>
            <w:r w:rsidRPr="005764CA">
              <w:rPr>
                <w:rFonts w:ascii="宋体" w:hAnsi="宋体" w:hint="eastAsia"/>
                <w:szCs w:val="21"/>
              </w:rPr>
              <w:t>片源流畅播放，</w:t>
            </w:r>
            <w:r w:rsidRPr="005764CA">
              <w:rPr>
                <w:rFonts w:ascii="宋体" w:hAnsi="宋体" w:hint="eastAsia"/>
                <w:szCs w:val="21"/>
              </w:rPr>
              <w:lastRenderedPageBreak/>
              <w:t>支持DTMB地面数字电视（提供相关证明材料复印件加盖厂家公章证明）。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kern w:val="2"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sz w:val="21"/>
                <w:szCs w:val="21"/>
              </w:rPr>
              <w:t>19、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具有浪涌保护电路技术，可有效保护产品电路电源安全。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jc w:val="left"/>
              <w:rPr>
                <w:rFonts w:ascii="宋体" w:hAnsi="宋体"/>
                <w:kern w:val="2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20、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为保证产品质量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，</w:t>
            </w:r>
            <w:r w:rsidRPr="005764CA">
              <w:rPr>
                <w:rFonts w:ascii="宋体" w:hAnsi="宋体"/>
                <w:kern w:val="2"/>
                <w:sz w:val="21"/>
                <w:szCs w:val="21"/>
              </w:rPr>
              <w:t>投标时需提供所投产品制造商加盖公章的技术参数</w:t>
            </w:r>
            <w:r w:rsidRPr="005764CA">
              <w:rPr>
                <w:rFonts w:ascii="宋体" w:hAnsi="宋体" w:hint="eastAsia"/>
                <w:kern w:val="2"/>
                <w:sz w:val="21"/>
                <w:szCs w:val="21"/>
              </w:rPr>
              <w:t>确认函。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嵌入式主机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5764CA">
              <w:rPr>
                <w:rFonts w:ascii="宋体" w:hAnsi="宋体" w:hint="eastAsia"/>
                <w:sz w:val="21"/>
                <w:szCs w:val="21"/>
              </w:rPr>
              <w:t>1、采用模块化电脑方案，抽拉内置式，采用</w:t>
            </w:r>
            <w:r w:rsidRPr="005764CA">
              <w:rPr>
                <w:rFonts w:ascii="宋体" w:hAnsi="宋体"/>
                <w:sz w:val="21"/>
                <w:szCs w:val="21"/>
              </w:rPr>
              <w:t>80pin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或以上接口，实现无单独接线的插拔，</w:t>
            </w:r>
            <w:r w:rsidRPr="005764CA">
              <w:rPr>
                <w:rFonts w:ascii="宋体" w:hAnsi="宋体"/>
                <w:sz w:val="21"/>
                <w:szCs w:val="21"/>
              </w:rPr>
              <w:t>PC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模块可完全插入整机，保护</w:t>
            </w:r>
            <w:r w:rsidRPr="005764CA">
              <w:rPr>
                <w:rFonts w:ascii="宋体" w:hAnsi="宋体"/>
                <w:sz w:val="21"/>
                <w:szCs w:val="21"/>
              </w:rPr>
              <w:t>PC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模块不易受教室灰尘影响。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2、处理器：</w:t>
            </w:r>
            <w:r w:rsidRPr="005764CA">
              <w:rPr>
                <w:rFonts w:ascii="宋体" w:hAnsi="宋体"/>
                <w:sz w:val="21"/>
                <w:szCs w:val="21"/>
              </w:rPr>
              <w:t xml:space="preserve">Intel Core i5 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；内存：16</w:t>
            </w:r>
            <w:r w:rsidRPr="005764CA">
              <w:rPr>
                <w:rFonts w:ascii="宋体" w:hAnsi="宋体"/>
                <w:sz w:val="21"/>
                <w:szCs w:val="21"/>
              </w:rPr>
              <w:t>G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或以上配置；硬盘：</w:t>
            </w:r>
            <w:r w:rsidRPr="005764CA">
              <w:rPr>
                <w:rFonts w:ascii="宋体" w:hAnsi="宋体"/>
                <w:sz w:val="21"/>
                <w:szCs w:val="21"/>
              </w:rPr>
              <w:t>256G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或以上</w:t>
            </w:r>
            <w:r w:rsidRPr="005764CA">
              <w:rPr>
                <w:rFonts w:ascii="宋体" w:hAnsi="宋体"/>
                <w:sz w:val="21"/>
                <w:szCs w:val="21"/>
              </w:rPr>
              <w:t>SSD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固态硬盘。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3、</w:t>
            </w:r>
            <w:r w:rsidRPr="005764CA">
              <w:rPr>
                <w:rFonts w:ascii="宋体" w:hAnsi="宋体"/>
                <w:sz w:val="21"/>
                <w:szCs w:val="21"/>
              </w:rPr>
              <w:t>产品平均无故障时间≥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120000H（提供权威机构出具的相关证明文件复印件加盖厂家公章证明）。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4、</w:t>
            </w:r>
            <w:r w:rsidRPr="005764CA">
              <w:rPr>
                <w:rFonts w:ascii="宋体" w:hAnsi="宋体"/>
                <w:sz w:val="21"/>
                <w:szCs w:val="21"/>
              </w:rPr>
              <w:t>为保证产品质量</w:t>
            </w:r>
            <w:r w:rsidRPr="005764CA">
              <w:rPr>
                <w:rFonts w:ascii="宋体" w:hAnsi="宋体" w:hint="eastAsia"/>
                <w:sz w:val="21"/>
                <w:szCs w:val="21"/>
              </w:rPr>
              <w:t>，</w:t>
            </w:r>
            <w:r w:rsidRPr="005764CA">
              <w:rPr>
                <w:rFonts w:ascii="宋体" w:hAnsi="宋体"/>
                <w:sz w:val="21"/>
                <w:szCs w:val="21"/>
              </w:rPr>
              <w:t>投</w:t>
            </w:r>
            <w:r w:rsidRPr="00B14239">
              <w:rPr>
                <w:rFonts w:ascii="宋体" w:hAnsi="宋体"/>
                <w:kern w:val="2"/>
                <w:sz w:val="21"/>
                <w:szCs w:val="21"/>
              </w:rPr>
              <w:t>标时需提供所投产品制造商加盖公章的技术参数</w:t>
            </w:r>
            <w:r w:rsidRPr="00B14239">
              <w:rPr>
                <w:rFonts w:ascii="宋体" w:hAnsi="宋体" w:hint="eastAsia"/>
                <w:kern w:val="2"/>
                <w:sz w:val="21"/>
                <w:szCs w:val="21"/>
              </w:rPr>
              <w:t>确认函。</w:t>
            </w:r>
          </w:p>
        </w:tc>
      </w:tr>
      <w:tr w:rsidR="00B25ED6" w:rsidRPr="005764CA" w:rsidTr="00E55B4A">
        <w:trPr>
          <w:trHeight w:val="57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移动授课助手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spacing w:line="360" w:lineRule="auto"/>
              <w:rPr>
                <w:rFonts w:ascii="宋体" w:hAnsi="宋体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szCs w:val="21"/>
              </w:rPr>
              <w:t>1、移动设备端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需支持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iOS、Android。</w:t>
            </w:r>
          </w:p>
          <w:p w:rsidR="00B25ED6" w:rsidRPr="005764CA" w:rsidRDefault="00B25ED6" w:rsidP="00E55B4A">
            <w:pPr>
              <w:spacing w:line="360" w:lineRule="auto"/>
              <w:rPr>
                <w:rFonts w:ascii="宋体" w:hAnsi="宋体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szCs w:val="21"/>
              </w:rPr>
              <w:t>2、支持客户端生成热点功能，在没有路由器的情况下，可通过客户端生成局域网热点供外部终端进行无线连接，并支持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二维码扫描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连接，无需手动设置。</w:t>
            </w:r>
          </w:p>
          <w:p w:rsidR="00B25ED6" w:rsidRPr="005764CA" w:rsidRDefault="00B25ED6" w:rsidP="00E55B4A">
            <w:pPr>
              <w:spacing w:line="360" w:lineRule="auto"/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3、支持手机、平板投屏，可将手机或平板屏幕画面实时投影到大屏上。</w:t>
            </w:r>
          </w:p>
          <w:p w:rsidR="00B25ED6" w:rsidRPr="005764CA" w:rsidRDefault="00B25ED6" w:rsidP="00E55B4A">
            <w:pPr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4、支持普通、高清、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超清三种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同屏模式。</w:t>
            </w:r>
          </w:p>
          <w:p w:rsidR="00B25ED6" w:rsidRPr="005764CA" w:rsidRDefault="00B25ED6" w:rsidP="00E55B4A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5、可通过移动设备远程控制电子白板、一体机、电脑等，支持鼠标指针大小、形状可选择设置，并可自定义鼠标形状，解决后排学生经常看不清鼠标指针的问题。</w:t>
            </w:r>
          </w:p>
          <w:p w:rsidR="00B25ED6" w:rsidRPr="005764CA" w:rsidRDefault="00B25ED6" w:rsidP="00E55B4A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6、具备基本远程显示辅助工具，包括荧光笔、聚光灯、放大镜等，荧光笔颜色、聚光灯大小及放大镜倍数通过移动设备端轻松可调。</w:t>
            </w:r>
          </w:p>
          <w:p w:rsidR="00B25ED6" w:rsidRPr="005764CA" w:rsidRDefault="00B25ED6" w:rsidP="00E55B4A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7、支持播放移动设备上的所有教学文件，包括</w:t>
            </w:r>
            <w:proofErr w:type="spellStart"/>
            <w:r w:rsidRPr="005764CA">
              <w:rPr>
                <w:rFonts w:ascii="宋体" w:hAnsi="宋体" w:hint="eastAsia"/>
                <w:szCs w:val="21"/>
              </w:rPr>
              <w:t>ppt</w:t>
            </w:r>
            <w:proofErr w:type="spellEnd"/>
            <w:r w:rsidRPr="005764CA">
              <w:rPr>
                <w:rFonts w:ascii="宋体" w:hAnsi="宋体" w:hint="eastAsia"/>
                <w:szCs w:val="21"/>
              </w:rPr>
              <w:t>、word、pdf、图片、音频、视频等，并可通过移动设备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端控制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播放，包括全屏、快进、快退、停止等。</w:t>
            </w:r>
          </w:p>
          <w:p w:rsidR="00B25ED6" w:rsidRPr="005764CA" w:rsidRDefault="00B25ED6" w:rsidP="00E55B4A">
            <w:pPr>
              <w:adjustRightInd w:val="0"/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szCs w:val="21"/>
              </w:rPr>
              <w:t>8、教师可以在移动设备上直接批注大屏内容，且支持视频动态批注。</w:t>
            </w:r>
          </w:p>
          <w:p w:rsidR="00B25ED6" w:rsidRPr="005764CA" w:rsidRDefault="00B25ED6" w:rsidP="00E55B4A">
            <w:pPr>
              <w:rPr>
                <w:rFonts w:ascii="宋体" w:hAnsi="宋体" w:hint="eastAsia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9、具备本地文件智能管理功能，可对移动终端上的图片、视频自动分类，方便快速找到相应文件，并支持一键上传到交互智能平板中并打开。</w:t>
            </w:r>
          </w:p>
          <w:p w:rsidR="00B25ED6" w:rsidRPr="005764CA" w:rsidRDefault="00B25ED6" w:rsidP="00E55B4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10、移动电子白板功能：具备铅笔、荧光笔、激光笔、魔法笔、排刷、图案刷等多种书写笔模式；提供三角形、正方形、圆形、椭圆、多边形、平行线、箭头线、虚线等图形绘图工具；可插入图片、PPT、word等文件进行讲解，并可直接保存为图片、pdf等文件。</w:t>
            </w:r>
          </w:p>
          <w:p w:rsidR="00B25ED6" w:rsidRPr="005764CA" w:rsidRDefault="00B25ED6" w:rsidP="00E55B4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lastRenderedPageBreak/>
              <w:t>11、移动展台功能：教师可方便将课本、试卷等实物通过移动设备拍照上传至大屏讲解，并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需支持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在移动端通过手势控制缩放、旋转、移动、剪切、标注、擦除等操作。并可以通过移动设备摄像头随时分享直播学生做题过程及实验情景，分享过程中，可选择是否录制；多图对比展示功能，可将多位学生的作业、试卷或其他文案进行拍摄，并上传至移动授课专用白板软件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做对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比，批注，支持制动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生成双图对比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，三图对比，四图对比等模式。</w:t>
            </w:r>
          </w:p>
          <w:p w:rsidR="00B25ED6" w:rsidRPr="005764CA" w:rsidRDefault="00B25ED6" w:rsidP="00E55B4A">
            <w:pPr>
              <w:spacing w:line="360" w:lineRule="auto"/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12、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支持微课录制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功能（交互平板需带摄像头）：教师可以一键将课堂教学内容录制成标准的视频文件，包括黑板板书、大屏图像、课堂实况、教师语音等；方便学生课后复习及未能即时听课的学生听课使用，支持中等、高清、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超清三种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画质录制；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微课格式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需要为标准的流媒体格式，如mp4、</w:t>
            </w:r>
            <w:proofErr w:type="spellStart"/>
            <w:r w:rsidRPr="005764CA">
              <w:rPr>
                <w:rFonts w:ascii="宋体" w:hAnsi="宋体" w:hint="eastAsia"/>
                <w:szCs w:val="21"/>
              </w:rPr>
              <w:t>flv</w:t>
            </w:r>
            <w:proofErr w:type="spellEnd"/>
            <w:r w:rsidRPr="005764CA">
              <w:rPr>
                <w:rFonts w:ascii="宋体" w:hAnsi="宋体" w:hint="eastAsia"/>
                <w:szCs w:val="21"/>
              </w:rPr>
              <w:t>等，方便网络传输、观看。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微课录制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完毕，可以一键回看，以便</w:t>
            </w:r>
            <w:proofErr w:type="gramStart"/>
            <w:r w:rsidRPr="005764CA">
              <w:rPr>
                <w:rFonts w:ascii="宋体" w:hAnsi="宋体" w:hint="eastAsia"/>
                <w:szCs w:val="21"/>
              </w:rPr>
              <w:t>确认微课录制</w:t>
            </w:r>
            <w:proofErr w:type="gramEnd"/>
            <w:r w:rsidRPr="005764CA">
              <w:rPr>
                <w:rFonts w:ascii="宋体" w:hAnsi="宋体" w:hint="eastAsia"/>
                <w:szCs w:val="21"/>
              </w:rPr>
              <w:t>效果。</w:t>
            </w:r>
          </w:p>
        </w:tc>
      </w:tr>
      <w:tr w:rsidR="00B25ED6" w:rsidRPr="005764CA" w:rsidTr="00E55B4A">
        <w:trPr>
          <w:trHeight w:val="57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智能笔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1、采用笔型设计，外观使用防滑材料，带四个遥控按键，即可以用于触摸书写，也可用于远程操控。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B14239">
              <w:rPr>
                <w:rFonts w:ascii="宋体" w:hAnsi="宋体" w:cs="宋体" w:hint="eastAsia"/>
                <w:sz w:val="21"/>
                <w:szCs w:val="21"/>
              </w:rPr>
              <w:t>▲</w:t>
            </w: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2、采用2.4G无线连接技术，无线接收距离最大可达15米。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3、无线接收器采用微型Nano设计，并能收纳在笔上，整洁美观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4、使用单节7号电池驱动，并带自动休眠节电设计.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5、单接收器设计，Android、Windows双系统同时响应。只需安装一个接收器，双系统都能够响应智能笔的操作指令。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6、支持白板课件、PPT、PDF、word等多种格式的课件进行远程无线翻页。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7、无需在一体机上进行任何操作远程即可实现一键开启白板软件。</w:t>
            </w:r>
          </w:p>
          <w:p w:rsidR="00B25ED6" w:rsidRPr="005764CA" w:rsidRDefault="00B25ED6" w:rsidP="00E55B4A">
            <w:pPr>
              <w:pStyle w:val="NewNewNewNew"/>
              <w:spacing w:line="36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5764CA">
              <w:rPr>
                <w:rFonts w:ascii="宋体" w:hAnsi="宋体" w:cs="宋体" w:hint="eastAsia"/>
                <w:bCs/>
                <w:sz w:val="21"/>
                <w:szCs w:val="21"/>
              </w:rPr>
              <w:t>8、一键启动放大镜功能，通过放大镜放大对应画面内容，方便细节展示；</w:t>
            </w:r>
          </w:p>
          <w:p w:rsidR="00B25ED6" w:rsidRPr="005764CA" w:rsidRDefault="00B25ED6" w:rsidP="00E55B4A">
            <w:pPr>
              <w:tabs>
                <w:tab w:val="left" w:pos="2508"/>
              </w:tabs>
              <w:rPr>
                <w:rFonts w:ascii="宋体" w:hAnsi="宋体" w:cs="宋体"/>
                <w:b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bCs/>
                <w:szCs w:val="21"/>
              </w:rPr>
              <w:t>9、支持扩展选配按键功能，可选功能包括：一键启动任意通道批注、一键启动/退出PPT播放、一键启动PPT批注等功能。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有线传屏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1、可实现外部电脑高清视频信号、音频信号以及触摸信号，采用USB端口进行传输，可兼容市面上具备通用USB端子的各类电脑。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2、采用单按键设计，只需按一下即可传屏，无需在智能平板上做任何操作。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3、支持多台电脑连接至同一台智能平板，可根据需要切换使用不同电脑。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4、通过数字信号传输，信号更稳定，抗干扰性强。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5、传输分辨率：支持1920*1080@60Hz。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proofErr w:type="gram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传屏器功耗</w:t>
            </w:r>
            <w:proofErr w:type="gram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：不超过2.5W。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7、电脑系统支持：Windows7/8/8.1/10，Mac OS X10.9及以上。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4239">
              <w:rPr>
                <w:rFonts w:ascii="宋体" w:hAnsi="宋体" w:hint="eastAsia"/>
                <w:kern w:val="0"/>
                <w:szCs w:val="21"/>
              </w:rPr>
              <w:t>8、</w:t>
            </w:r>
            <w:r w:rsidRPr="00B14239">
              <w:rPr>
                <w:rFonts w:ascii="宋体" w:hAnsi="宋体"/>
                <w:kern w:val="0"/>
                <w:szCs w:val="21"/>
              </w:rPr>
              <w:t>为保证产品质量</w:t>
            </w:r>
            <w:r w:rsidRPr="00B14239">
              <w:rPr>
                <w:rFonts w:ascii="宋体" w:hAnsi="宋体" w:hint="eastAsia"/>
                <w:kern w:val="0"/>
                <w:szCs w:val="21"/>
              </w:rPr>
              <w:t>，</w:t>
            </w:r>
            <w:r w:rsidRPr="00B14239">
              <w:rPr>
                <w:rFonts w:ascii="宋体" w:hAnsi="宋体"/>
                <w:kern w:val="0"/>
                <w:szCs w:val="21"/>
              </w:rPr>
              <w:t>投</w:t>
            </w:r>
            <w:r w:rsidRPr="00B14239">
              <w:rPr>
                <w:rFonts w:ascii="宋体" w:hAnsi="宋体"/>
                <w:szCs w:val="21"/>
              </w:rPr>
              <w:t>标时需提供所投产品制造商加盖公章的技术参数</w:t>
            </w:r>
            <w:r w:rsidRPr="00B14239">
              <w:rPr>
                <w:rFonts w:ascii="宋体" w:hAnsi="宋体" w:hint="eastAsia"/>
                <w:szCs w:val="21"/>
              </w:rPr>
              <w:t>确认函。</w:t>
            </w:r>
          </w:p>
        </w:tc>
      </w:tr>
      <w:tr w:rsidR="00B25ED6" w:rsidRPr="005764CA" w:rsidTr="00E55B4A">
        <w:trPr>
          <w:trHeight w:val="576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szCs w:val="21"/>
              </w:rPr>
            </w:pPr>
            <w:r w:rsidRPr="005764CA">
              <w:rPr>
                <w:rFonts w:ascii="宋体" w:hAnsi="宋体" w:hint="eastAsia"/>
                <w:szCs w:val="21"/>
              </w:rPr>
              <w:t>资源管理平台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1、登录：至少支持通过短信验证码登录、账号密码登录、U盘登录（可自行制作）三种登录方式。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2、课堂点评：支持随机选人、手动选人，实时发送点评，可最多支持随机抽选12人。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3、软件可一键最小化，授课模式下支持与电脑桌面来回切换，并形成可随意拖拉的浮动工具菜单。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4、支持助教板功能，可调整笔迹的粗细和颜色，至少有12种颜色可选，支持细笔书写。                                         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5、支持板擦功能，可以擦除画笔的笔迹，也可以支持圈擦、一键清</w:t>
            </w:r>
            <w:proofErr w:type="gram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屏以及</w:t>
            </w:r>
            <w:proofErr w:type="gram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手势擦除。                                             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6、在授课模式页面插入一个汉字编辑卡片，支持手写识别出汉字，并有拼音、发音、释义、笔画、部首、五笔、部外笔画等功能。                                                      7、授课模式下支持打开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xbdx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、pdf、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pptx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xls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xlsx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、doc、</w:t>
            </w:r>
            <w:proofErr w:type="spellStart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docx</w:t>
            </w:r>
            <w:proofErr w:type="spellEnd"/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文件。                                           8、思维导图：提供思维导图编辑功能，可增删或拖拽编辑内容节点，支持在节点上插入图片、音频、视频、网页链接、课件页面链接，添加关联、概要、备注，支持思维导图逐级、逐个节点展开，并可任意缩放。           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9、资源中心：涵盖录播课、试题库、课件库、我的录播、我的试题五大分类，按照学段、学科、版本、年份、册次、章节、知识点等进行精准搜索。                    10、 数学函数工具：覆盖K12所有函数类型，支持一次函数、二次函数、对数函数、指数函数、幂函数、三角函数至少六种函数的快速输入，可缩放函数图像与坐标轴，可显示坐标网格，函数图生成后可重新编辑，并支持隐藏数学函数图像。                                                    </w:t>
            </w:r>
          </w:p>
          <w:p w:rsidR="00B25ED6" w:rsidRPr="005764CA" w:rsidRDefault="00B25ED6" w:rsidP="00E55B4A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11、作业点评。作业图片支持插入到白板中，在课堂上进行点评分析，并支持多图作业对比。</w:t>
            </w:r>
          </w:p>
        </w:tc>
      </w:tr>
      <w:tr w:rsidR="00B25ED6" w:rsidRPr="005764CA" w:rsidTr="00E55B4A">
        <w:trPr>
          <w:trHeight w:val="354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万向黑板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color w:val="000000"/>
                <w:szCs w:val="21"/>
              </w:rPr>
              <w:t>1、可根据教师的不同身高自由升降书写</w:t>
            </w:r>
            <w:proofErr w:type="gramStart"/>
            <w:r w:rsidRPr="005764CA">
              <w:rPr>
                <w:rFonts w:ascii="宋体" w:hAnsi="宋体" w:hint="eastAsia"/>
                <w:color w:val="000000"/>
                <w:szCs w:val="21"/>
              </w:rPr>
              <w:t>板调整</w:t>
            </w:r>
            <w:proofErr w:type="gramEnd"/>
            <w:r w:rsidRPr="005764CA">
              <w:rPr>
                <w:rFonts w:ascii="宋体" w:hAnsi="宋体" w:hint="eastAsia"/>
                <w:color w:val="000000"/>
                <w:szCs w:val="21"/>
              </w:rPr>
              <w:t>书写板的高度，选择最佳书写位置。教师站在一个固定地点，就可将书写板从上到下任意书写，使书写板的使用率达到100%；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2、当需要使用交互式一体机时，将两块书写板推开；不需要交互式一体机时，将两块书写板合拢关闭锁定遮住交互式一体机，在复杂的教室环境，有效保护了交互式一体机。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</w:t>
            </w:r>
            <w:r w:rsidRPr="005764CA">
              <w:rPr>
                <w:rFonts w:ascii="宋体" w:hAnsi="宋体" w:hint="eastAsia"/>
                <w:color w:val="000000"/>
                <w:szCs w:val="21"/>
              </w:rPr>
              <w:t>3、规格：整体尺寸≧4000*1240mm，可根据交互式一体机的尺寸适当调整。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4、面板材料：采用优质原装板面，整板无拼接，板面呈墨绿色，视觉舒适，用眼不疲劳；厚度：≥0.27mm～0.30 mm；表面漆膜硬度：≥4H，经</w:t>
            </w:r>
            <w:proofErr w:type="gramStart"/>
            <w:r w:rsidRPr="005764CA">
              <w:rPr>
                <w:rFonts w:ascii="宋体" w:hAnsi="宋体" w:hint="eastAsia"/>
                <w:color w:val="000000"/>
                <w:szCs w:val="21"/>
              </w:rPr>
              <w:t>耗磨仪</w:t>
            </w:r>
            <w:proofErr w:type="gramEnd"/>
            <w:r w:rsidRPr="005764CA">
              <w:rPr>
                <w:rFonts w:ascii="宋体" w:hAnsi="宋体" w:hint="eastAsia"/>
                <w:color w:val="000000"/>
                <w:szCs w:val="21"/>
              </w:rPr>
              <w:t>一万次摩擦后表面</w:t>
            </w:r>
            <w:proofErr w:type="gramStart"/>
            <w:r w:rsidRPr="005764CA">
              <w:rPr>
                <w:rFonts w:ascii="宋体" w:hAnsi="宋体" w:hint="eastAsia"/>
                <w:color w:val="000000"/>
                <w:szCs w:val="21"/>
              </w:rPr>
              <w:t>不</w:t>
            </w:r>
            <w:proofErr w:type="gramEnd"/>
            <w:r w:rsidRPr="005764CA">
              <w:rPr>
                <w:rFonts w:ascii="宋体" w:hAnsi="宋体" w:hint="eastAsia"/>
                <w:color w:val="000000"/>
                <w:szCs w:val="21"/>
              </w:rPr>
              <w:t>露底；书写性：用水性笔书写流畅不打滑，清</w:t>
            </w:r>
            <w:proofErr w:type="gramStart"/>
            <w:r w:rsidRPr="005764CA">
              <w:rPr>
                <w:rFonts w:ascii="宋体" w:hAnsi="宋体" w:hint="eastAsia"/>
                <w:color w:val="000000"/>
                <w:szCs w:val="21"/>
              </w:rPr>
              <w:t>擦干净无粉尘</w:t>
            </w:r>
            <w:proofErr w:type="gramEnd"/>
            <w:r w:rsidRPr="005764CA">
              <w:rPr>
                <w:rFonts w:ascii="宋体" w:hAnsi="宋体" w:hint="eastAsia"/>
                <w:color w:val="000000"/>
                <w:szCs w:val="21"/>
              </w:rPr>
              <w:t>飘落；磁性：表面适用所有磁性材料。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5、夹层：采用挤塑聚苯乙烯泡沫塑料板，厚度为≥14mm，整张无接缝,甲醇释放量mg/l≦1.5。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6、背面：采用整块防锈镀锌板，厚度≥0.20mm，各项指标均达到国际环保要求。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7、滑轮材料：采用可调赛</w:t>
            </w:r>
            <w:proofErr w:type="gramStart"/>
            <w:r w:rsidRPr="005764CA">
              <w:rPr>
                <w:rFonts w:ascii="宋体" w:hAnsi="宋体" w:hint="eastAsia"/>
                <w:color w:val="000000"/>
                <w:szCs w:val="21"/>
              </w:rPr>
              <w:t>尼纶套胶双轮</w:t>
            </w:r>
            <w:proofErr w:type="gramEnd"/>
            <w:r w:rsidRPr="005764CA">
              <w:rPr>
                <w:rFonts w:ascii="宋体" w:hAnsi="宋体" w:hint="eastAsia"/>
                <w:color w:val="000000"/>
                <w:szCs w:val="21"/>
              </w:rPr>
              <w:t>,对活动书写板滑动灵活性可调。</w:t>
            </w:r>
          </w:p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8、边框材料：采用高档磨砂亚光香槟色电泳铝材，外框与轨道一体化流线型设计，色泽柔和，不反光。边框：宽40mm.厚20mm。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网线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B14239">
              <w:rPr>
                <w:rFonts w:ascii="宋体" w:hAnsi="宋体" w:cs="宋体" w:hint="eastAsia"/>
                <w:szCs w:val="21"/>
              </w:rPr>
              <w:t>▲1、</w:t>
            </w:r>
            <w:r w:rsidRPr="005764CA">
              <w:rPr>
                <w:rFonts w:ascii="宋体" w:hAnsi="宋体" w:hint="eastAsia"/>
                <w:color w:val="000000"/>
                <w:szCs w:val="21"/>
              </w:rPr>
              <w:t>六类非屏蔽网线，满足项目需求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USB跳线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USB跳线，满足项目需求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5764C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VGA跳线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VGA跳线，满足项目需求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音频跳线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音频跳线，满足项目需求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线管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PVCφ20、PVCφ25等线管，满足项目需求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设备拆除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原教室投影仪、白板、黑板、讲台等拆除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/>
                <w:color w:val="000000"/>
                <w:szCs w:val="21"/>
              </w:rPr>
              <w:t>辅材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PVC直通、弯头等</w:t>
            </w:r>
          </w:p>
        </w:tc>
      </w:tr>
      <w:tr w:rsidR="00B25ED6" w:rsidRPr="005764CA" w:rsidTr="00E55B4A">
        <w:trPr>
          <w:trHeight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64C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系统集成费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D6" w:rsidRPr="005764CA" w:rsidRDefault="00B25ED6" w:rsidP="00E55B4A">
            <w:pPr>
              <w:rPr>
                <w:rFonts w:ascii="宋体" w:hAnsi="宋体"/>
                <w:color w:val="000000"/>
                <w:szCs w:val="21"/>
              </w:rPr>
            </w:pPr>
            <w:r w:rsidRPr="005764CA">
              <w:rPr>
                <w:rFonts w:ascii="宋体" w:hAnsi="宋体" w:hint="eastAsia"/>
                <w:color w:val="000000"/>
                <w:szCs w:val="21"/>
              </w:rPr>
              <w:t>系统安装调试、培训等</w:t>
            </w:r>
          </w:p>
        </w:tc>
      </w:tr>
    </w:tbl>
    <w:p w:rsidR="00B25ED6" w:rsidRPr="00B14239" w:rsidRDefault="00B25ED6" w:rsidP="00B25ED6"/>
    <w:p w:rsidR="00B25ED6" w:rsidRPr="00B14239" w:rsidRDefault="00B25ED6" w:rsidP="00B25ED6">
      <w:pPr>
        <w:rPr>
          <w:rFonts w:hint="eastAsia"/>
        </w:rPr>
      </w:pPr>
    </w:p>
    <w:p w:rsidR="00B25ED6" w:rsidRPr="00B14239" w:rsidRDefault="00B25ED6" w:rsidP="00B25ED6">
      <w:pPr>
        <w:pStyle w:val="2"/>
        <w:spacing w:beforeLines="50" w:before="156" w:afterLines="50" w:after="156"/>
        <w:rPr>
          <w:b w:val="0"/>
        </w:rPr>
      </w:pPr>
      <w:r w:rsidRPr="00B14239">
        <w:rPr>
          <w:rFonts w:ascii="新宋体" w:eastAsia="新宋体" w:hAnsi="新宋体" w:hint="eastAsia"/>
          <w:sz w:val="21"/>
          <w:szCs w:val="21"/>
        </w:rPr>
        <w:t>三</w:t>
      </w:r>
      <w:r w:rsidRPr="00B14239">
        <w:rPr>
          <w:rFonts w:ascii="新宋体" w:eastAsia="新宋体" w:hAnsi="新宋体"/>
          <w:sz w:val="21"/>
          <w:szCs w:val="21"/>
        </w:rPr>
        <w:t>、</w:t>
      </w:r>
      <w:r w:rsidRPr="00B14239">
        <w:rPr>
          <w:rFonts w:ascii="新宋体" w:eastAsia="新宋体" w:hAnsi="新宋体" w:hint="eastAsia"/>
          <w:sz w:val="21"/>
          <w:szCs w:val="21"/>
        </w:rPr>
        <w:t>商务需求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559"/>
        <w:gridCol w:w="6946"/>
      </w:tblGrid>
      <w:tr w:rsidR="00B25ED6" w:rsidRPr="00B14239" w:rsidTr="00E55B4A">
        <w:trPr>
          <w:trHeight w:val="397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B14239">
              <w:rPr>
                <w:rFonts w:ascii="新宋体" w:eastAsia="新宋体" w:hAnsi="新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B14239">
              <w:rPr>
                <w:rFonts w:ascii="新宋体" w:eastAsia="新宋体" w:hAnsi="新宋体" w:hint="eastAsia"/>
                <w:b/>
                <w:szCs w:val="21"/>
              </w:rPr>
              <w:t>目录</w:t>
            </w:r>
          </w:p>
        </w:tc>
        <w:tc>
          <w:tcPr>
            <w:tcW w:w="6946" w:type="dxa"/>
            <w:vAlign w:val="center"/>
          </w:tcPr>
          <w:p w:rsidR="00B25ED6" w:rsidRPr="00B14239" w:rsidRDefault="00B25ED6" w:rsidP="00E55B4A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B14239">
              <w:rPr>
                <w:rFonts w:ascii="新宋体" w:eastAsia="新宋体" w:hAnsi="新宋体" w:hint="eastAsia"/>
                <w:b/>
                <w:szCs w:val="21"/>
              </w:rPr>
              <w:t>招标商务需求</w:t>
            </w:r>
          </w:p>
        </w:tc>
      </w:tr>
      <w:tr w:rsidR="00B25ED6" w:rsidRPr="00B14239" w:rsidTr="00E55B4A">
        <w:trPr>
          <w:trHeight w:val="280"/>
        </w:trPr>
        <w:tc>
          <w:tcPr>
            <w:tcW w:w="9356" w:type="dxa"/>
            <w:gridSpan w:val="3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（一）免费保修期内售后服务要求</w:t>
            </w:r>
          </w:p>
        </w:tc>
      </w:tr>
      <w:tr w:rsidR="00B25ED6" w:rsidRPr="00B14239" w:rsidTr="00E55B4A">
        <w:trPr>
          <w:trHeight w:val="150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免费保修期</w:t>
            </w: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1.1货物免费保修期</w:t>
            </w:r>
            <w:r w:rsidRPr="00B14239">
              <w:rPr>
                <w:rFonts w:ascii="新宋体" w:eastAsia="新宋体" w:hAnsi="新宋体"/>
                <w:bCs/>
                <w:szCs w:val="21"/>
              </w:rPr>
              <w:t>3</w:t>
            </w:r>
            <w:r w:rsidRPr="00B14239">
              <w:rPr>
                <w:rFonts w:ascii="新宋体" w:eastAsia="新宋体" w:hAnsi="新宋体" w:hint="eastAsia"/>
                <w:bCs/>
                <w:szCs w:val="21"/>
              </w:rPr>
              <w:t>年，否则视为未能实质性满足招标文件要求，时间</w:t>
            </w:r>
            <w:proofErr w:type="gramStart"/>
            <w:r w:rsidRPr="00B14239">
              <w:rPr>
                <w:rFonts w:ascii="新宋体" w:eastAsia="新宋体" w:hAnsi="新宋体" w:hint="eastAsia"/>
                <w:bCs/>
                <w:szCs w:val="21"/>
              </w:rPr>
              <w:t>自最终</w:t>
            </w:r>
            <w:proofErr w:type="gramEnd"/>
            <w:r w:rsidRPr="00B14239">
              <w:rPr>
                <w:rFonts w:ascii="新宋体" w:eastAsia="新宋体" w:hAnsi="新宋体" w:hint="eastAsia"/>
                <w:bCs/>
                <w:szCs w:val="21"/>
              </w:rPr>
              <w:t>验收合格并交付使用之日起计算。</w:t>
            </w:r>
          </w:p>
        </w:tc>
      </w:tr>
      <w:tr w:rsidR="00B25ED6" w:rsidRPr="00B14239" w:rsidTr="00E55B4A">
        <w:trPr>
          <w:trHeight w:val="320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维修响应及故障解决时间</w:t>
            </w: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2.1在保修期内，一旦发生质量问题，投标人保证在接到通知4小时内赶到现场进行修理或更换。</w:t>
            </w:r>
          </w:p>
        </w:tc>
      </w:tr>
      <w:tr w:rsidR="00B25ED6" w:rsidRPr="00B14239" w:rsidTr="00E55B4A">
        <w:trPr>
          <w:trHeight w:val="299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其他</w:t>
            </w:r>
          </w:p>
        </w:tc>
        <w:tc>
          <w:tcPr>
            <w:tcW w:w="6946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3.1投标人应按其投标文件中的承诺，进行其他售后服务工作。</w:t>
            </w:r>
          </w:p>
        </w:tc>
      </w:tr>
      <w:tr w:rsidR="00B25ED6" w:rsidRPr="00B14239" w:rsidTr="00E55B4A">
        <w:trPr>
          <w:trHeight w:val="299"/>
        </w:trPr>
        <w:tc>
          <w:tcPr>
            <w:tcW w:w="9356" w:type="dxa"/>
            <w:gridSpan w:val="3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（二）</w:t>
            </w:r>
            <w:r w:rsidRPr="00B14239">
              <w:rPr>
                <w:rFonts w:ascii="新宋体" w:eastAsia="新宋体" w:hAnsi="新宋体" w:hint="eastAsia"/>
                <w:szCs w:val="21"/>
              </w:rPr>
              <w:t>免费保修期外售后服务要求</w:t>
            </w:r>
          </w:p>
        </w:tc>
      </w:tr>
      <w:tr w:rsidR="00B25ED6" w:rsidRPr="00B14239" w:rsidTr="00E55B4A">
        <w:trPr>
          <w:trHeight w:val="299"/>
        </w:trPr>
        <w:tc>
          <w:tcPr>
            <w:tcW w:w="851" w:type="dxa"/>
            <w:vMerge w:val="restart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25ED6" w:rsidRPr="00B14239" w:rsidRDefault="00B25ED6" w:rsidP="00E55B4A">
            <w:pPr>
              <w:pStyle w:val="Default"/>
              <w:jc w:val="both"/>
              <w:rPr>
                <w:b/>
              </w:rPr>
            </w:pPr>
            <w:r w:rsidRPr="00B14239">
              <w:rPr>
                <w:rFonts w:hint="eastAsia"/>
                <w:sz w:val="21"/>
                <w:szCs w:val="21"/>
              </w:rPr>
              <w:t>维修零配件、消耗品和延续保修合同的报价</w:t>
            </w:r>
            <w:r w:rsidRPr="00B1423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B25ED6" w:rsidRPr="00B14239" w:rsidRDefault="00B25ED6" w:rsidP="00E55B4A">
            <w:pPr>
              <w:pStyle w:val="Default"/>
              <w:jc w:val="both"/>
              <w:rPr>
                <w:b/>
                <w:sz w:val="21"/>
                <w:szCs w:val="21"/>
              </w:rPr>
            </w:pPr>
            <w:r w:rsidRPr="00B14239">
              <w:rPr>
                <w:rFonts w:hint="eastAsia"/>
                <w:sz w:val="21"/>
                <w:szCs w:val="21"/>
              </w:rPr>
              <w:t>1.1</w:t>
            </w:r>
            <w:r w:rsidRPr="00B14239">
              <w:rPr>
                <w:rFonts w:hint="eastAsia"/>
                <w:sz w:val="21"/>
                <w:szCs w:val="21"/>
              </w:rPr>
              <w:t>投标人应以优惠价供应维修零配件、消耗品和延续保修合同。</w:t>
            </w:r>
          </w:p>
        </w:tc>
      </w:tr>
      <w:tr w:rsidR="00B25ED6" w:rsidRPr="00B14239" w:rsidTr="00E55B4A">
        <w:trPr>
          <w:trHeight w:val="299"/>
        </w:trPr>
        <w:tc>
          <w:tcPr>
            <w:tcW w:w="851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  <w:r w:rsidRPr="00B14239">
              <w:rPr>
                <w:szCs w:val="21"/>
              </w:rPr>
              <w:t>1.2</w:t>
            </w:r>
            <w:r w:rsidRPr="00B14239">
              <w:rPr>
                <w:rFonts w:hint="eastAsia"/>
                <w:szCs w:val="21"/>
              </w:rPr>
              <w:t>采购人可与投标人就优惠价进行谈判，但优惠价不得高于投标人在投标文件的《零配件、消耗品和延续保修合同报价明清单》中承诺的维修零配件、消耗品和延续保修合同的报价。</w:t>
            </w:r>
          </w:p>
        </w:tc>
      </w:tr>
      <w:tr w:rsidR="00B25ED6" w:rsidRPr="00B14239" w:rsidTr="00E55B4A">
        <w:trPr>
          <w:trHeight w:val="299"/>
        </w:trPr>
        <w:tc>
          <w:tcPr>
            <w:tcW w:w="851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  <w:r w:rsidRPr="00B14239">
              <w:rPr>
                <w:szCs w:val="21"/>
              </w:rPr>
              <w:t>1.3</w:t>
            </w:r>
            <w:r w:rsidRPr="00B14239">
              <w:rPr>
                <w:rFonts w:hint="eastAsia"/>
                <w:szCs w:val="21"/>
              </w:rPr>
              <w:t>投标人及设备制造商不得以任何理由不按时进行维修，不得要求采购人购买所谓</w:t>
            </w:r>
            <w:r w:rsidRPr="00B14239">
              <w:rPr>
                <w:szCs w:val="21"/>
              </w:rPr>
              <w:t>“</w:t>
            </w:r>
            <w:r w:rsidRPr="00B14239">
              <w:rPr>
                <w:rFonts w:hint="eastAsia"/>
                <w:szCs w:val="21"/>
              </w:rPr>
              <w:t>保修服务</w:t>
            </w:r>
            <w:r w:rsidRPr="00B14239">
              <w:rPr>
                <w:szCs w:val="21"/>
              </w:rPr>
              <w:t>”</w:t>
            </w:r>
            <w:r w:rsidRPr="00B14239">
              <w:rPr>
                <w:rFonts w:hint="eastAsia"/>
                <w:szCs w:val="21"/>
              </w:rPr>
              <w:t>（即：不论设备有无故障先买保修服务），不得在设备</w:t>
            </w:r>
            <w:proofErr w:type="gramStart"/>
            <w:r w:rsidRPr="00B14239">
              <w:rPr>
                <w:rFonts w:hint="eastAsia"/>
                <w:szCs w:val="21"/>
              </w:rPr>
              <w:t>中嵌设任何</w:t>
            </w:r>
            <w:proofErr w:type="gramEnd"/>
            <w:r w:rsidRPr="00B14239">
              <w:rPr>
                <w:rFonts w:hint="eastAsia"/>
                <w:szCs w:val="21"/>
              </w:rPr>
              <w:t>不利于采购人使用与维修设备的障碍。</w:t>
            </w:r>
          </w:p>
        </w:tc>
      </w:tr>
      <w:tr w:rsidR="00B25ED6" w:rsidRPr="00B14239" w:rsidTr="00E55B4A">
        <w:trPr>
          <w:trHeight w:val="350"/>
        </w:trPr>
        <w:tc>
          <w:tcPr>
            <w:tcW w:w="9356" w:type="dxa"/>
            <w:gridSpan w:val="3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（三）其他商务要求</w:t>
            </w:r>
          </w:p>
        </w:tc>
      </w:tr>
      <w:tr w:rsidR="00B25ED6" w:rsidRPr="00B14239" w:rsidTr="00E55B4A">
        <w:trPr>
          <w:trHeight w:val="350"/>
        </w:trPr>
        <w:tc>
          <w:tcPr>
            <w:tcW w:w="851" w:type="dxa"/>
            <w:vMerge w:val="restart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1.1签订合同后7个工作日内。</w:t>
            </w:r>
          </w:p>
        </w:tc>
      </w:tr>
      <w:tr w:rsidR="00B25ED6" w:rsidRPr="00B14239" w:rsidTr="00E55B4A">
        <w:trPr>
          <w:trHeight w:val="350"/>
        </w:trPr>
        <w:tc>
          <w:tcPr>
            <w:tcW w:w="851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 w:hint="eastAsia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1.2 供货时需提供</w:t>
            </w:r>
            <w:r w:rsidRPr="00B14239">
              <w:rPr>
                <w:rFonts w:ascii="新宋体" w:eastAsia="新宋体" w:hAnsi="新宋体" w:hint="eastAsia"/>
                <w:color w:val="000000"/>
                <w:szCs w:val="21"/>
              </w:rPr>
              <w:t>交互智能平板原厂供货证明函。</w:t>
            </w:r>
          </w:p>
        </w:tc>
      </w:tr>
      <w:tr w:rsidR="00B25ED6" w:rsidRPr="00B14239" w:rsidTr="00E55B4A">
        <w:trPr>
          <w:trHeight w:val="451"/>
        </w:trPr>
        <w:tc>
          <w:tcPr>
            <w:tcW w:w="851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1.3投标人必须承担的设备运输、安装调试、验收检测和提供设备操作说明书、图纸等其他类似的义务。</w:t>
            </w:r>
          </w:p>
        </w:tc>
      </w:tr>
      <w:tr w:rsidR="00B25ED6" w:rsidRPr="00B14239" w:rsidTr="00E55B4A">
        <w:trPr>
          <w:trHeight w:val="350"/>
        </w:trPr>
        <w:tc>
          <w:tcPr>
            <w:tcW w:w="851" w:type="dxa"/>
            <w:vMerge w:val="restart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1.1投标人货物经过双方检验认可后，签署验收报告，产品保修期自验收合格之日起算，由投标人提供产品保修文件。</w:t>
            </w:r>
          </w:p>
        </w:tc>
      </w:tr>
      <w:tr w:rsidR="00B25ED6" w:rsidRPr="00B14239" w:rsidTr="00E55B4A">
        <w:trPr>
          <w:trHeight w:val="350"/>
        </w:trPr>
        <w:tc>
          <w:tcPr>
            <w:tcW w:w="851" w:type="dxa"/>
            <w:vMerge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vMerge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1.2当满足以下条件时，采购人才向中标人签发货物验收报告：</w:t>
            </w:r>
          </w:p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/>
                <w:bCs/>
                <w:szCs w:val="21"/>
              </w:rPr>
              <w:t>a</w:t>
            </w:r>
            <w:r w:rsidRPr="00B14239">
              <w:rPr>
                <w:rFonts w:ascii="新宋体" w:eastAsia="新宋体" w:hAnsi="新宋体" w:hint="eastAsia"/>
                <w:bCs/>
                <w:szCs w:val="21"/>
              </w:rPr>
              <w:t>、中标人已按照合同规定提供了全部产品及完整的技术资料。</w:t>
            </w:r>
          </w:p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/>
                <w:bCs/>
                <w:szCs w:val="21"/>
              </w:rPr>
              <w:t>b</w:t>
            </w:r>
            <w:r w:rsidRPr="00B14239">
              <w:rPr>
                <w:rFonts w:ascii="新宋体" w:eastAsia="新宋体" w:hAnsi="新宋体" w:hint="eastAsia"/>
                <w:bCs/>
                <w:szCs w:val="21"/>
              </w:rPr>
              <w:t>、货物符合招标文件技术规格书的要求，性能满足要求。</w:t>
            </w:r>
          </w:p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/>
                <w:bCs/>
                <w:szCs w:val="21"/>
              </w:rPr>
              <w:t>c</w:t>
            </w:r>
            <w:r w:rsidRPr="00B14239">
              <w:rPr>
                <w:rFonts w:ascii="新宋体" w:eastAsia="新宋体" w:hAnsi="新宋体" w:hint="eastAsia"/>
                <w:bCs/>
                <w:szCs w:val="21"/>
              </w:rPr>
              <w:t>、货物具备产品合格证。</w:t>
            </w:r>
          </w:p>
          <w:p w:rsidR="00B25ED6" w:rsidRPr="00B14239" w:rsidRDefault="00B25ED6" w:rsidP="00E55B4A">
            <w:pPr>
              <w:rPr>
                <w:rFonts w:ascii="新宋体" w:eastAsia="新宋体" w:hAnsi="新宋体"/>
                <w:bCs/>
                <w:szCs w:val="21"/>
              </w:rPr>
            </w:pPr>
            <w:r w:rsidRPr="00B14239">
              <w:rPr>
                <w:rFonts w:ascii="新宋体" w:eastAsia="新宋体" w:hAnsi="新宋体" w:hint="eastAsia"/>
                <w:bCs/>
                <w:szCs w:val="21"/>
              </w:rPr>
              <w:t>1.3凡属于国家规定强制检测的设备项目，都必须具备计量质检部门的检测合格证。</w:t>
            </w:r>
          </w:p>
        </w:tc>
      </w:tr>
      <w:tr w:rsidR="00B25ED6" w:rsidRPr="00B14239" w:rsidTr="00E55B4A">
        <w:trPr>
          <w:trHeight w:val="350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/>
                <w:szCs w:val="21"/>
              </w:rPr>
              <w:t>3</w:t>
            </w:r>
          </w:p>
        </w:tc>
        <w:tc>
          <w:tcPr>
            <w:tcW w:w="1559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Cs/>
                <w:szCs w:val="21"/>
              </w:rPr>
              <w:t>兼容性要求</w:t>
            </w:r>
          </w:p>
        </w:tc>
        <w:tc>
          <w:tcPr>
            <w:tcW w:w="6946" w:type="dxa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hint="eastAsia"/>
                <w:szCs w:val="21"/>
              </w:rPr>
              <w:t>中标人应保证免费提供后期的维护升级，确保</w:t>
            </w:r>
            <w:r w:rsidRPr="00B14239">
              <w:rPr>
                <w:rFonts w:ascii="新宋体" w:eastAsia="新宋体" w:hAnsi="新宋体" w:cs="宋体" w:hint="eastAsia"/>
                <w:kern w:val="0"/>
                <w:szCs w:val="21"/>
              </w:rPr>
              <w:t>产品的兼容性和稳定性。</w:t>
            </w:r>
          </w:p>
        </w:tc>
      </w:tr>
      <w:tr w:rsidR="00B25ED6" w:rsidRPr="008A340F" w:rsidTr="00E55B4A">
        <w:trPr>
          <w:trHeight w:val="350"/>
        </w:trPr>
        <w:tc>
          <w:tcPr>
            <w:tcW w:w="851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Cs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25ED6" w:rsidRPr="00B14239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Cs/>
                <w:szCs w:val="21"/>
              </w:rPr>
              <w:t>付款方式</w:t>
            </w:r>
          </w:p>
        </w:tc>
        <w:tc>
          <w:tcPr>
            <w:tcW w:w="6946" w:type="dxa"/>
            <w:vAlign w:val="center"/>
          </w:tcPr>
          <w:p w:rsidR="00B25ED6" w:rsidRPr="008A340F" w:rsidRDefault="00B25ED6" w:rsidP="00E55B4A">
            <w:pPr>
              <w:rPr>
                <w:rFonts w:ascii="新宋体" w:eastAsia="新宋体" w:hAnsi="新宋体"/>
                <w:szCs w:val="21"/>
              </w:rPr>
            </w:pPr>
            <w:r w:rsidRPr="00B14239">
              <w:rPr>
                <w:rFonts w:ascii="新宋体" w:eastAsia="新宋体" w:hAnsi="新宋体" w:cs="宋体" w:hint="eastAsia"/>
                <w:bCs/>
                <w:kern w:val="0"/>
                <w:szCs w:val="21"/>
              </w:rPr>
              <w:t>按深圳市南山区财政局规定执行。</w:t>
            </w:r>
          </w:p>
        </w:tc>
      </w:tr>
    </w:tbl>
    <w:p w:rsidR="00B25ED6" w:rsidRPr="008A340F" w:rsidRDefault="00B25ED6" w:rsidP="00B25ED6">
      <w:pPr>
        <w:spacing w:line="276" w:lineRule="auto"/>
        <w:rPr>
          <w:rFonts w:hint="eastAsia"/>
        </w:rPr>
      </w:pPr>
    </w:p>
    <w:p w:rsidR="00B25542" w:rsidRPr="00B25ED6" w:rsidRDefault="00B25542" w:rsidP="00B25ED6">
      <w:bookmarkStart w:id="1" w:name="_GoBack"/>
      <w:bookmarkEnd w:id="1"/>
    </w:p>
    <w:sectPr w:rsidR="00B25542" w:rsidRPr="00B25ED6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770167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70167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70167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6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3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D4D4E"/>
    <w:rsid w:val="000E0AD6"/>
    <w:rsid w:val="000E24B2"/>
    <w:rsid w:val="001E13C0"/>
    <w:rsid w:val="00374611"/>
    <w:rsid w:val="00391D2A"/>
    <w:rsid w:val="0054285B"/>
    <w:rsid w:val="00584311"/>
    <w:rsid w:val="00634E4A"/>
    <w:rsid w:val="00770167"/>
    <w:rsid w:val="0087030C"/>
    <w:rsid w:val="00914F23"/>
    <w:rsid w:val="00AC2812"/>
    <w:rsid w:val="00AE721F"/>
    <w:rsid w:val="00B25542"/>
    <w:rsid w:val="00B25ED6"/>
    <w:rsid w:val="00B52D07"/>
    <w:rsid w:val="00BD3F95"/>
    <w:rsid w:val="00BE7455"/>
    <w:rsid w:val="00CA5C51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5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D4D4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0">
    <w:name w:val="标题 2 Char"/>
    <w:basedOn w:val="a0"/>
    <w:uiPriority w:val="9"/>
    <w:semiHidden/>
    <w:rsid w:val="000D4D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9"/>
    <w:rsid w:val="000D4D4E"/>
    <w:rPr>
      <w:rFonts w:ascii="Arial" w:eastAsia="黑体" w:hAnsi="Arial" w:cs="Times New Roman"/>
      <w:b/>
      <w:sz w:val="32"/>
    </w:rPr>
  </w:style>
  <w:style w:type="paragraph" w:customStyle="1" w:styleId="a9">
    <w:name w:val="正文段落"/>
    <w:basedOn w:val="a"/>
    <w:rsid w:val="00CA5C51"/>
    <w:pPr>
      <w:spacing w:line="360" w:lineRule="auto"/>
      <w:ind w:firstLineChars="200" w:firstLine="440"/>
    </w:pPr>
    <w:rPr>
      <w:rFonts w:ascii="宋体" w:hAnsi="宋体" w:cs="宋体"/>
      <w:kern w:val="0"/>
      <w:szCs w:val="20"/>
    </w:rPr>
  </w:style>
  <w:style w:type="paragraph" w:customStyle="1" w:styleId="NewNewNewNew">
    <w:name w:val="正文 New New New New"/>
    <w:qFormat/>
    <w:rsid w:val="00B25ED6"/>
    <w:pPr>
      <w:widowControl w:val="0"/>
      <w:jc w:val="both"/>
    </w:pPr>
    <w:rPr>
      <w:rFonts w:ascii="Calibri" w:eastAsia="宋体" w:hAnsi="Calibri" w:cs="Times New Roman"/>
      <w:kern w:val="0"/>
      <w:sz w:val="20"/>
      <w:szCs w:val="24"/>
    </w:rPr>
  </w:style>
  <w:style w:type="paragraph" w:customStyle="1" w:styleId="Default">
    <w:name w:val="Default"/>
    <w:rsid w:val="00B25ED6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863</Words>
  <Characters>4924</Characters>
  <Application>Microsoft Office Word</Application>
  <DocSecurity>0</DocSecurity>
  <Lines>41</Lines>
  <Paragraphs>11</Paragraphs>
  <ScaleCrop>false</ScaleCrop>
  <Company>china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27</cp:revision>
  <dcterms:created xsi:type="dcterms:W3CDTF">2018-07-14T05:06:00Z</dcterms:created>
  <dcterms:modified xsi:type="dcterms:W3CDTF">2019-07-13T11:52:00Z</dcterms:modified>
</cp:coreProperties>
</file>