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3D650" w14:textId="77777777" w:rsidR="008C2C16" w:rsidRDefault="008C2C16" w:rsidP="008C2C16">
      <w:pPr>
        <w:widowControl/>
        <w:spacing w:after="100" w:afterAutospacing="1"/>
        <w:jc w:val="center"/>
        <w:rPr>
          <w:rFonts w:ascii="华文中宋" w:eastAsia="华文中宋" w:hAnsi="华文中宋"/>
          <w:kern w:val="0"/>
          <w:sz w:val="36"/>
          <w:szCs w:val="36"/>
        </w:rPr>
      </w:pPr>
      <w:r w:rsidRPr="008C2C16">
        <w:rPr>
          <w:rFonts w:ascii="华文中宋" w:eastAsia="华文中宋" w:hAnsi="华文中宋" w:hint="eastAsia"/>
          <w:kern w:val="0"/>
          <w:sz w:val="36"/>
          <w:szCs w:val="36"/>
        </w:rPr>
        <w:t>招标需求</w:t>
      </w:r>
    </w:p>
    <w:p w14:paraId="169AE87F" w14:textId="67F54EFB" w:rsidR="008C2C16" w:rsidRPr="008C2C16" w:rsidRDefault="008C2C16" w:rsidP="008C2C16">
      <w:pPr>
        <w:widowControl/>
        <w:spacing w:after="100" w:afterAutospacing="1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一、</w:t>
      </w:r>
      <w:proofErr w:type="gramStart"/>
      <w:r w:rsidRPr="008C2C16">
        <w:rPr>
          <w:rFonts w:ascii="华文中宋" w:eastAsia="华文中宋" w:hAnsi="华文中宋" w:hint="eastAsia"/>
          <w:kern w:val="0"/>
          <w:sz w:val="28"/>
          <w:szCs w:val="28"/>
        </w:rPr>
        <w:t>货物清单</w:t>
      </w:r>
      <w:proofErr w:type="gramEnd"/>
    </w:p>
    <w:tbl>
      <w:tblPr>
        <w:tblW w:w="8701" w:type="dxa"/>
        <w:jc w:val="center"/>
        <w:tblLook w:val="04A0" w:firstRow="1" w:lastRow="0" w:firstColumn="1" w:lastColumn="0" w:noHBand="0" w:noVBand="1"/>
      </w:tblPr>
      <w:tblGrid>
        <w:gridCol w:w="751"/>
        <w:gridCol w:w="4252"/>
        <w:gridCol w:w="851"/>
        <w:gridCol w:w="1083"/>
        <w:gridCol w:w="1764"/>
      </w:tblGrid>
      <w:tr w:rsidR="008C2C16" w:rsidRPr="008C2C16" w14:paraId="7ABC18C4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1419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序号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D341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货物名称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4C18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数量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246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单位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A820E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备注</w:t>
            </w:r>
          </w:p>
        </w:tc>
      </w:tr>
      <w:tr w:rsidR="008C2C16" w:rsidRPr="008C2C16" w14:paraId="71AAC914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1490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771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手机大师软件授权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DD8E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72D1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套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D9ADC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463FB8A0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F85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964B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/>
                <w:snapToGrid w:val="0"/>
                <w:szCs w:val="21"/>
                <w:lang w:val="zh-CN"/>
              </w:rPr>
              <w:t>C</w:t>
            </w: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ellebrite4pc软件授权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84AD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BAFD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套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94318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5ECE242C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1D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E5D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现场取证专用电脑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1591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440D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819D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3CCF9E24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868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140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取证主机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FB6D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6302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81879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64C06A87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029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C9A6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取证测试IOS移动终端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93FC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0A9B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5B0E6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20B48FE8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A5D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C27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取证测试IOS移动终端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9E4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2BC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22725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00AFDE82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8C79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EBF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取证服务器专用ups电池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BBFE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CA2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套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B1921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8C2C16" w:rsidRPr="008C2C16" w14:paraId="76353762" w14:textId="77777777" w:rsidTr="00A31137">
        <w:trPr>
          <w:trHeight w:val="454"/>
          <w:jc w:val="center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DAB2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C4B8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证据编辑显示屏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94FF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BF6D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napToGrid w:val="0"/>
                <w:szCs w:val="21"/>
                <w:lang w:val="zh-CN"/>
              </w:rPr>
            </w:pPr>
            <w:r w:rsidRPr="008C2C16">
              <w:rPr>
                <w:rFonts w:ascii="新宋体" w:eastAsia="新宋体" w:hAnsi="新宋体" w:hint="eastAsia"/>
                <w:snapToGrid w:val="0"/>
                <w:szCs w:val="21"/>
                <w:lang w:val="zh-CN"/>
              </w:rPr>
              <w:t>台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6255" w14:textId="77777777" w:rsidR="008C2C16" w:rsidRPr="008C2C16" w:rsidRDefault="008C2C16" w:rsidP="008C2C16">
            <w:pPr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14:paraId="729AA901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color w:val="FF0000"/>
          <w:szCs w:val="21"/>
        </w:rPr>
      </w:pPr>
    </w:p>
    <w:p w14:paraId="325275B0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szCs w:val="21"/>
        </w:rPr>
      </w:pPr>
      <w:r w:rsidRPr="008C2C16">
        <w:rPr>
          <w:rFonts w:ascii="新宋体" w:eastAsia="新宋体" w:hAnsi="新宋体" w:hint="eastAsia"/>
          <w:szCs w:val="21"/>
        </w:rPr>
        <w:t xml:space="preserve">备注：1.备注栏注明“拒绝进口”的产品不接受投标人选用进口产品参与投标；注明“接受进口”的产品允许投标人选用进口产品参与投标，但不排斥国内产品。 </w:t>
      </w:r>
    </w:p>
    <w:p w14:paraId="2079B130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szCs w:val="21"/>
        </w:rPr>
      </w:pPr>
      <w:r w:rsidRPr="008C2C16">
        <w:rPr>
          <w:rFonts w:ascii="新宋体" w:eastAsia="新宋体" w:hAnsi="新宋体" w:hint="eastAsia"/>
          <w:szCs w:val="21"/>
        </w:rPr>
        <w:t>2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新方案的供应商的进口产品，相关内容以财库〔2007〕119 号文和财办库〔2008〕248 号文的相关规定为准。</w:t>
      </w:r>
    </w:p>
    <w:p w14:paraId="778F4684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bCs/>
          <w:szCs w:val="21"/>
        </w:rPr>
      </w:pPr>
      <w:r w:rsidRPr="008C2C16">
        <w:rPr>
          <w:rFonts w:ascii="新宋体" w:eastAsia="新宋体" w:hAnsi="新宋体" w:hint="eastAsia"/>
          <w:b/>
          <w:bCs/>
          <w:szCs w:val="21"/>
        </w:rPr>
        <w:t>3、本项目核心产品为：</w:t>
      </w:r>
      <w:r w:rsidRPr="008C2C16">
        <w:rPr>
          <w:rFonts w:ascii="新宋体" w:eastAsia="新宋体" w:hAnsi="新宋体" w:cs="宋体" w:hint="eastAsia"/>
          <w:b/>
          <w:bCs/>
          <w:kern w:val="0"/>
          <w:szCs w:val="21"/>
        </w:rPr>
        <w:t>取证服务器专用ups电池</w:t>
      </w:r>
      <w:r w:rsidRPr="008C2C16">
        <w:rPr>
          <w:rFonts w:ascii="新宋体" w:eastAsia="新宋体" w:hAnsi="新宋体" w:hint="eastAsia"/>
          <w:b/>
          <w:bCs/>
          <w:szCs w:val="21"/>
        </w:rPr>
        <w:t>。</w:t>
      </w:r>
    </w:p>
    <w:p w14:paraId="4E912C1D" w14:textId="3E69D491" w:rsidR="008C2C16" w:rsidRPr="008C2C16" w:rsidRDefault="008C2C16" w:rsidP="008C2C16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bookmarkStart w:id="0" w:name="_Toc128884461"/>
      <w:r>
        <w:rPr>
          <w:rFonts w:ascii="华文中宋" w:eastAsia="华文中宋" w:hAnsi="华文中宋" w:hint="eastAsia"/>
          <w:kern w:val="0"/>
          <w:sz w:val="28"/>
          <w:szCs w:val="28"/>
        </w:rPr>
        <w:t>二</w:t>
      </w:r>
      <w:r w:rsidRPr="008C2C16">
        <w:rPr>
          <w:rFonts w:ascii="华文中宋" w:eastAsia="华文中宋" w:hAnsi="华文中宋" w:hint="eastAsia"/>
          <w:kern w:val="0"/>
          <w:sz w:val="28"/>
          <w:szCs w:val="28"/>
        </w:rPr>
        <w:t>、实质性条款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483"/>
      </w:tblGrid>
      <w:tr w:rsidR="008C2C16" w:rsidRPr="008C2C16" w14:paraId="089EF91B" w14:textId="77777777" w:rsidTr="00A31137">
        <w:tc>
          <w:tcPr>
            <w:tcW w:w="705" w:type="dxa"/>
          </w:tcPr>
          <w:p w14:paraId="32563F9C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7483" w:type="dxa"/>
          </w:tcPr>
          <w:p w14:paraId="31D30CCE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b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b/>
                <w:kern w:val="0"/>
                <w:szCs w:val="21"/>
              </w:rPr>
              <w:t>具体内容</w:t>
            </w:r>
          </w:p>
        </w:tc>
      </w:tr>
      <w:tr w:rsidR="008C2C16" w:rsidRPr="008C2C16" w14:paraId="3253805D" w14:textId="77777777" w:rsidTr="00A31137">
        <w:tc>
          <w:tcPr>
            <w:tcW w:w="705" w:type="dxa"/>
          </w:tcPr>
          <w:p w14:paraId="55C7321C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1</w:t>
            </w:r>
          </w:p>
        </w:tc>
        <w:tc>
          <w:tcPr>
            <w:tcW w:w="7483" w:type="dxa"/>
          </w:tcPr>
          <w:p w14:paraId="55DA49F1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投标文件载明的交货期不超过招</w:t>
            </w:r>
            <w:proofErr w:type="gramStart"/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标文件</w:t>
            </w:r>
            <w:proofErr w:type="gramEnd"/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规定的期限</w:t>
            </w:r>
          </w:p>
        </w:tc>
      </w:tr>
      <w:tr w:rsidR="008C2C16" w:rsidRPr="008C2C16" w14:paraId="7035644C" w14:textId="77777777" w:rsidTr="00A31137">
        <w:tc>
          <w:tcPr>
            <w:tcW w:w="705" w:type="dxa"/>
          </w:tcPr>
          <w:p w14:paraId="48703325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2</w:t>
            </w:r>
          </w:p>
        </w:tc>
        <w:tc>
          <w:tcPr>
            <w:tcW w:w="7483" w:type="dxa"/>
          </w:tcPr>
          <w:p w14:paraId="1366F799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投标文件载明的免费保修期不低于</w:t>
            </w:r>
            <w:proofErr w:type="gramStart"/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招标文件</w:t>
            </w:r>
            <w:proofErr w:type="gramEnd"/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规定的期限</w:t>
            </w:r>
          </w:p>
        </w:tc>
      </w:tr>
      <w:tr w:rsidR="008C2C16" w:rsidRPr="008C2C16" w14:paraId="364B3633" w14:textId="77777777" w:rsidTr="00A31137">
        <w:tc>
          <w:tcPr>
            <w:tcW w:w="705" w:type="dxa"/>
          </w:tcPr>
          <w:p w14:paraId="4B55AEE5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jc w:val="center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3</w:t>
            </w:r>
          </w:p>
        </w:tc>
        <w:tc>
          <w:tcPr>
            <w:tcW w:w="7483" w:type="dxa"/>
          </w:tcPr>
          <w:p w14:paraId="312367A0" w14:textId="77777777" w:rsidR="008C2C16" w:rsidRPr="008C2C16" w:rsidRDefault="008C2C16" w:rsidP="008C2C16">
            <w:pPr>
              <w:adjustRightInd w:val="0"/>
              <w:snapToGrid w:val="0"/>
              <w:spacing w:line="276" w:lineRule="auto"/>
              <w:rPr>
                <w:rFonts w:ascii="新宋体" w:eastAsia="新宋体" w:hAnsi="新宋体"/>
                <w:kern w:val="0"/>
                <w:szCs w:val="21"/>
              </w:rPr>
            </w:pPr>
            <w:r w:rsidRPr="008C2C16">
              <w:rPr>
                <w:rFonts w:ascii="新宋体" w:eastAsia="新宋体" w:hAnsi="新宋体" w:hint="eastAsia"/>
                <w:kern w:val="0"/>
                <w:szCs w:val="21"/>
              </w:rPr>
              <w:t>具体技术要求、商务需求中带“★”要求</w:t>
            </w:r>
          </w:p>
        </w:tc>
      </w:tr>
    </w:tbl>
    <w:p w14:paraId="7E6B0A88" w14:textId="77777777" w:rsidR="008C2C16" w:rsidRPr="008C2C16" w:rsidRDefault="008C2C16" w:rsidP="008C2C16">
      <w:pPr>
        <w:spacing w:line="360" w:lineRule="auto"/>
        <w:rPr>
          <w:rFonts w:ascii="Times New Roman" w:hAnsi="Times New Roman"/>
        </w:rPr>
      </w:pPr>
      <w:r w:rsidRPr="008C2C16">
        <w:rPr>
          <w:rFonts w:ascii="Times New Roman" w:hAnsi="Times New Roman" w:hint="eastAsia"/>
        </w:rPr>
        <w:t>注：上表所列内容为不可负偏离条款</w:t>
      </w:r>
      <w:bookmarkEnd w:id="0"/>
    </w:p>
    <w:p w14:paraId="6B7FF299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szCs w:val="21"/>
        </w:rPr>
      </w:pPr>
    </w:p>
    <w:p w14:paraId="268AC6B4" w14:textId="3EA33F07" w:rsidR="008C2C16" w:rsidRPr="008C2C16" w:rsidRDefault="008C2C16" w:rsidP="008C2C16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lastRenderedPageBreak/>
        <w:t>三</w:t>
      </w:r>
      <w:r w:rsidRPr="008C2C16">
        <w:rPr>
          <w:rFonts w:ascii="华文中宋" w:eastAsia="华文中宋" w:hAnsi="华文中宋" w:hint="eastAsia"/>
          <w:kern w:val="0"/>
          <w:sz w:val="28"/>
          <w:szCs w:val="28"/>
        </w:rPr>
        <w:t>、具体技术要求</w:t>
      </w:r>
    </w:p>
    <w:p w14:paraId="34F5A941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</w:rPr>
      </w:pPr>
      <w:r w:rsidRPr="008C2C16">
        <w:rPr>
          <w:rFonts w:ascii="新宋体" w:eastAsia="新宋体" w:hAnsi="新宋体" w:hint="eastAsia"/>
        </w:rPr>
        <w:t>说明：1、带“</w:t>
      </w:r>
      <w:r w:rsidRPr="008C2C16">
        <w:rPr>
          <w:rFonts w:ascii="新宋体" w:eastAsia="新宋体" w:hAnsi="新宋体" w:cs="宋体" w:hint="eastAsia"/>
        </w:rPr>
        <w:t>★</w:t>
      </w:r>
      <w:r w:rsidRPr="008C2C16">
        <w:rPr>
          <w:rFonts w:ascii="新宋体" w:eastAsia="新宋体" w:hAnsi="新宋体" w:hint="eastAsia"/>
        </w:rPr>
        <w:t>”指标项为实质性条款，如出现负偏离，将被视为未实质性满足</w:t>
      </w:r>
      <w:proofErr w:type="gramStart"/>
      <w:r w:rsidRPr="008C2C16">
        <w:rPr>
          <w:rFonts w:ascii="新宋体" w:eastAsia="新宋体" w:hAnsi="新宋体" w:hint="eastAsia"/>
        </w:rPr>
        <w:t>招标文件</w:t>
      </w:r>
      <w:proofErr w:type="gramEnd"/>
      <w:r w:rsidRPr="008C2C16">
        <w:rPr>
          <w:rFonts w:ascii="新宋体" w:eastAsia="新宋体" w:hAnsi="新宋体" w:hint="eastAsia"/>
        </w:rPr>
        <w:t>要求作投标无效处理。带“</w:t>
      </w:r>
      <w:r w:rsidRPr="008C2C16">
        <w:rPr>
          <w:rFonts w:ascii="新宋体" w:eastAsia="新宋体" w:hAnsi="新宋体"/>
        </w:rPr>
        <w:t>▲</w:t>
      </w:r>
      <w:r w:rsidRPr="008C2C16">
        <w:rPr>
          <w:rFonts w:ascii="新宋体" w:eastAsia="新宋体" w:hAnsi="新宋体" w:hint="eastAsia"/>
        </w:rPr>
        <w:t>”指标项为重要参数，负偏离时</w:t>
      </w:r>
      <w:proofErr w:type="gramStart"/>
      <w:r w:rsidRPr="008C2C16">
        <w:rPr>
          <w:rFonts w:ascii="新宋体" w:eastAsia="新宋体" w:hAnsi="新宋体" w:hint="eastAsia"/>
        </w:rPr>
        <w:t>依相关</w:t>
      </w:r>
      <w:proofErr w:type="gramEnd"/>
      <w:r w:rsidRPr="008C2C16">
        <w:rPr>
          <w:rFonts w:ascii="新宋体" w:eastAsia="新宋体" w:hAnsi="新宋体" w:hint="eastAsia"/>
        </w:rPr>
        <w:t xml:space="preserve">评分准则内容作重点扣分处理。 </w:t>
      </w:r>
    </w:p>
    <w:p w14:paraId="4F6AEF7D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</w:rPr>
      </w:pPr>
      <w:r w:rsidRPr="008C2C16">
        <w:rPr>
          <w:rFonts w:ascii="新宋体" w:eastAsia="新宋体" w:hAnsi="新宋体" w:hint="eastAsia"/>
        </w:rPr>
        <w:t>2、招标技术要求中，用红色加粗字体标注的技术条款为要求提供证明资料的条款，共</w:t>
      </w:r>
      <w:r w:rsidRPr="008C2C16">
        <w:rPr>
          <w:rFonts w:ascii="新宋体" w:eastAsia="新宋体" w:hAnsi="新宋体" w:hint="eastAsia"/>
          <w:u w:val="single"/>
        </w:rPr>
        <w:t xml:space="preserve"> 9 </w:t>
      </w:r>
      <w:r w:rsidRPr="008C2C16">
        <w:rPr>
          <w:rFonts w:ascii="新宋体" w:eastAsia="新宋体" w:hAnsi="新宋体" w:hint="eastAsia"/>
        </w:rPr>
        <w:t xml:space="preserve"> 项，其余为未要求提供证明资料的条款，无需提供相关证明资料。</w:t>
      </w:r>
    </w:p>
    <w:p w14:paraId="5472762F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</w:rPr>
      </w:pPr>
      <w:r w:rsidRPr="008C2C16">
        <w:rPr>
          <w:rFonts w:ascii="新宋体" w:eastAsia="新宋体" w:hAnsi="新宋体" w:hint="eastAsia"/>
        </w:rPr>
        <w:t>3、评分时，如对一项招标技术要求（以划分框为准）中的内容存在两处（或以上）负偏离的，在评分时只作一项负偏离扣分。</w:t>
      </w:r>
    </w:p>
    <w:p w14:paraId="462CD8DE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szCs w:val="21"/>
        </w:rPr>
      </w:pPr>
    </w:p>
    <w:tbl>
      <w:tblPr>
        <w:tblW w:w="8340" w:type="dxa"/>
        <w:tblInd w:w="103" w:type="dxa"/>
        <w:tblLook w:val="04A0" w:firstRow="1" w:lastRow="0" w:firstColumn="1" w:lastColumn="0" w:noHBand="0" w:noVBand="1"/>
      </w:tblPr>
      <w:tblGrid>
        <w:gridCol w:w="1080"/>
        <w:gridCol w:w="1860"/>
        <w:gridCol w:w="5400"/>
      </w:tblGrid>
      <w:tr w:rsidR="008C2C16" w:rsidRPr="008C2C16" w14:paraId="45A214DA" w14:textId="77777777" w:rsidTr="00A311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896C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8A9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设备名称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A596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招标技术要求</w:t>
            </w:r>
          </w:p>
        </w:tc>
      </w:tr>
      <w:tr w:rsidR="008C2C16" w:rsidRPr="008C2C16" w14:paraId="16632BE2" w14:textId="77777777" w:rsidTr="00A3113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33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1E5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手机大师软件授权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4B3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1）美亚柏科手机大师3年软件升级授权</w:t>
            </w:r>
          </w:p>
          <w:p w14:paraId="50598C2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b/>
                <w:szCs w:val="21"/>
              </w:rPr>
              <w:t>★</w:t>
            </w:r>
            <w:r w:rsidRPr="008C2C1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2）提供厂商出具的本项目售后服务承诺书并加盖印章。</w:t>
            </w:r>
          </w:p>
        </w:tc>
      </w:tr>
      <w:tr w:rsidR="008C2C16" w:rsidRPr="008C2C16" w14:paraId="0CF9A2CF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43E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2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0E12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Cellebrite4pc软件授权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ACD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1)Cellebrite4pc软件1年升级授权</w:t>
            </w:r>
          </w:p>
        </w:tc>
      </w:tr>
      <w:tr w:rsidR="008C2C16" w:rsidRPr="008C2C16" w14:paraId="4B211BB5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90BA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0BE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AE8D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/>
              </w:rPr>
              <w:t>▲</w:t>
            </w: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2)包含</w:t>
            </w:r>
            <w:proofErr w:type="spell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PhysicalExtraction</w:t>
            </w:r>
            <w:proofErr w:type="spellEnd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和Physical Analyzer模块</w:t>
            </w:r>
          </w:p>
        </w:tc>
      </w:tr>
      <w:tr w:rsidR="008C2C16" w:rsidRPr="008C2C16" w14:paraId="1A1B08AD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957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3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FF9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现场取证专用电脑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672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1)英特尔酷</w:t>
            </w:r>
            <w:proofErr w:type="gram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睿</w:t>
            </w:r>
            <w:proofErr w:type="gramEnd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i7-10510U</w:t>
            </w:r>
          </w:p>
        </w:tc>
      </w:tr>
      <w:tr w:rsidR="008C2C16" w:rsidRPr="008C2C16" w14:paraId="1515227A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845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50A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F0D6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2)13.3英寸显示屏</w:t>
            </w:r>
          </w:p>
        </w:tc>
      </w:tr>
      <w:tr w:rsidR="008C2C16" w:rsidRPr="008C2C16" w14:paraId="6B962C4A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68E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D43C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002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3)IPS广视角</w:t>
            </w:r>
          </w:p>
        </w:tc>
      </w:tr>
      <w:tr w:rsidR="008C2C16" w:rsidRPr="008C2C16" w14:paraId="3F561E2F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F55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D82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505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4)</w:t>
            </w:r>
            <w:r w:rsidRPr="008C2C16">
              <w:rPr>
                <w:rFonts w:ascii="新宋体" w:eastAsia="新宋体" w:hAnsi="新宋体" w:cs="宋体"/>
                <w:kern w:val="0"/>
                <w:szCs w:val="21"/>
              </w:rPr>
              <w:t>硬盘容量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512GSSD</w:t>
            </w:r>
          </w:p>
        </w:tc>
      </w:tr>
      <w:tr w:rsidR="008C2C16" w:rsidRPr="008C2C16" w14:paraId="14DC20F5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CA7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057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2542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5)指纹识别</w:t>
            </w:r>
          </w:p>
        </w:tc>
      </w:tr>
      <w:tr w:rsidR="008C2C16" w:rsidRPr="008C2C16" w14:paraId="4F50FB10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118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163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782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6)</w:t>
            </w:r>
            <w:proofErr w:type="gram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急速快充</w:t>
            </w:r>
            <w:proofErr w:type="gramEnd"/>
          </w:p>
        </w:tc>
      </w:tr>
      <w:tr w:rsidR="008C2C16" w:rsidRPr="008C2C16" w14:paraId="4E8B7D4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6EC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8E1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8CC7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7)</w:t>
            </w:r>
            <w:proofErr w:type="spell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Trackpoint</w:t>
            </w:r>
            <w:proofErr w:type="spellEnd"/>
            <w:proofErr w:type="gram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光标控制系统</w:t>
            </w:r>
            <w:proofErr w:type="gramEnd"/>
          </w:p>
        </w:tc>
      </w:tr>
      <w:tr w:rsidR="008C2C16" w:rsidRPr="008C2C16" w14:paraId="682A23F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84C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8F6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06DD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8)重量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1.3kg</w:t>
            </w:r>
          </w:p>
        </w:tc>
      </w:tr>
      <w:tr w:rsidR="008C2C16" w:rsidRPr="008C2C16" w14:paraId="33DBE91F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0F0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D2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E45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9) 厚度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 xml:space="preserve"> ≤</w:t>
            </w: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6.9mm</w:t>
            </w:r>
          </w:p>
        </w:tc>
      </w:tr>
      <w:tr w:rsidR="008C2C16" w:rsidRPr="008C2C16" w14:paraId="5F51B67C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2C5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FCE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取证主机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744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1)CPU型号十代酷</w:t>
            </w:r>
            <w:proofErr w:type="gramStart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睿</w:t>
            </w:r>
            <w:proofErr w:type="gramEnd"/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i7 (I7-10700)</w:t>
            </w:r>
          </w:p>
        </w:tc>
      </w:tr>
      <w:tr w:rsidR="008C2C16" w:rsidRPr="008C2C16" w14:paraId="21DB4E7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A86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A2A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8FF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kern w:val="0"/>
                <w:szCs w:val="21"/>
              </w:rPr>
              <w:t>2)显卡RTX2060-6G</w:t>
            </w:r>
          </w:p>
        </w:tc>
      </w:tr>
      <w:tr w:rsidR="008C2C16" w:rsidRPr="008C2C16" w14:paraId="58AB8FAD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697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01D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B32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3)Intel平台</w:t>
            </w:r>
          </w:p>
        </w:tc>
      </w:tr>
      <w:tr w:rsidR="008C2C16" w:rsidRPr="008C2C16" w14:paraId="336F6F8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3C0E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5A3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FD9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4)B460主板</w:t>
            </w:r>
          </w:p>
        </w:tc>
      </w:tr>
      <w:tr w:rsidR="008C2C16" w:rsidRPr="008C2C16" w14:paraId="74DC9175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7AC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33F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394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5)内存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16GB、DDR4</w:t>
            </w:r>
          </w:p>
        </w:tc>
      </w:tr>
      <w:tr w:rsidR="008C2C16" w:rsidRPr="008C2C16" w14:paraId="1A5EA22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38B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2D5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C47D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</w:t>
            </w:r>
            <w:r w:rsidRPr="008C2C16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硬盘容量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512G固态硬盘</w:t>
            </w:r>
          </w:p>
        </w:tc>
      </w:tr>
      <w:tr w:rsidR="008C2C16" w:rsidRPr="008C2C16" w14:paraId="0EB83556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F16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E53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A002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r w:rsidRPr="008C2C16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硬盘容量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2TB 机械硬盘</w:t>
            </w:r>
          </w:p>
        </w:tc>
      </w:tr>
      <w:tr w:rsidR="008C2C16" w:rsidRPr="008C2C16" w14:paraId="0748C336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D81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DED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D5C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8)机箱ITC3.0散热系统</w:t>
            </w:r>
          </w:p>
        </w:tc>
      </w:tr>
      <w:tr w:rsidR="008C2C16" w:rsidRPr="008C2C16" w14:paraId="5F6C084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A8C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18E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59F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9)3年质保上门</w:t>
            </w:r>
          </w:p>
        </w:tc>
      </w:tr>
      <w:tr w:rsidR="008C2C16" w:rsidRPr="008C2C16" w14:paraId="4E9CFE79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EBF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B8D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取证测试IOS移动终端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34A2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1)iOS 系统</w:t>
            </w:r>
          </w:p>
        </w:tc>
      </w:tr>
      <w:tr w:rsidR="008C2C16" w:rsidRPr="008C2C16" w14:paraId="506994B2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4DB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0C3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96B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2)机身容量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128GB；</w:t>
            </w:r>
          </w:p>
        </w:tc>
      </w:tr>
      <w:tr w:rsidR="008C2C16" w:rsidRPr="008C2C16" w14:paraId="5162F090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47C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D3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53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3)运行内存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3GB</w:t>
            </w:r>
          </w:p>
        </w:tc>
      </w:tr>
      <w:tr w:rsidR="008C2C16" w:rsidRPr="008C2C16" w14:paraId="4E0E4D92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938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E23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C806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4)4.7英寸Retina HD显示屏</w:t>
            </w:r>
          </w:p>
        </w:tc>
      </w:tr>
      <w:tr w:rsidR="008C2C16" w:rsidRPr="008C2C16" w14:paraId="7D484485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A72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E66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942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5)1334 x 750 像素分辨率</w:t>
            </w:r>
          </w:p>
        </w:tc>
      </w:tr>
      <w:tr w:rsidR="008C2C16" w:rsidRPr="008C2C16" w14:paraId="47C8F2D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9ABA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4A4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AED6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6)326 </w:t>
            </w:r>
            <w:proofErr w:type="spell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ppi</w:t>
            </w:r>
            <w:proofErr w:type="spell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；1400:1 对比度 （典型）</w:t>
            </w:r>
          </w:p>
        </w:tc>
      </w:tr>
      <w:tr w:rsidR="008C2C16" w:rsidRPr="008C2C16" w14:paraId="338FC987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738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71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454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7)CPU：A13 </w:t>
            </w:r>
          </w:p>
        </w:tc>
      </w:tr>
      <w:tr w:rsidR="008C2C16" w:rsidRPr="008C2C16" w14:paraId="68712B7E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08E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92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C6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8)后置摄像头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1200 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素广角；</w:t>
            </w:r>
          </w:p>
        </w:tc>
      </w:tr>
      <w:tr w:rsidR="008C2C16" w:rsidRPr="008C2C16" w14:paraId="1DBAFC3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739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FA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58B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9)前置摄像头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700 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素摄像头</w:t>
            </w:r>
          </w:p>
        </w:tc>
      </w:tr>
      <w:tr w:rsidR="008C2C16" w:rsidRPr="008C2C16" w14:paraId="17144EE2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99D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C1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取证测试IOS移动终端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CEE7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1)IOS系统</w:t>
            </w:r>
          </w:p>
        </w:tc>
      </w:tr>
      <w:tr w:rsidR="008C2C16" w:rsidRPr="008C2C16" w14:paraId="4FDD821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FB3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088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037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2)A13处理器</w:t>
            </w:r>
          </w:p>
        </w:tc>
      </w:tr>
      <w:tr w:rsidR="008C2C16" w:rsidRPr="008C2C16" w14:paraId="7D7269B9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216A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2CBC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7D44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3)6.5英寸显示屏（分辨率： 2688×1242像素）</w:t>
            </w:r>
          </w:p>
        </w:tc>
      </w:tr>
      <w:tr w:rsidR="008C2C16" w:rsidRPr="008C2C16" w14:paraId="6019C4BB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DE1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B46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EAA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4)最大支持SIM卡数量2个</w:t>
            </w:r>
          </w:p>
        </w:tc>
      </w:tr>
      <w:tr w:rsidR="008C2C16" w:rsidRPr="008C2C16" w14:paraId="6860DF7B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142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C3F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52C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5)运行内存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4GB</w:t>
            </w:r>
          </w:p>
        </w:tc>
      </w:tr>
      <w:tr w:rsidR="008C2C16" w:rsidRPr="008C2C16" w14:paraId="133B476B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523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F9D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975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6)机身容量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256GB</w:t>
            </w:r>
          </w:p>
        </w:tc>
      </w:tr>
      <w:tr w:rsidR="008C2C16" w:rsidRPr="008C2C16" w14:paraId="01AB864C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80A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5E8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B67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7)后置摄像头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1200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素</w:t>
            </w:r>
          </w:p>
        </w:tc>
      </w:tr>
      <w:tr w:rsidR="008C2C16" w:rsidRPr="008C2C16" w14:paraId="1866690E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BD9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3B9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4315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8)前置摄像头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1200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万像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素</w:t>
            </w:r>
          </w:p>
        </w:tc>
      </w:tr>
      <w:tr w:rsidR="008C2C16" w:rsidRPr="008C2C16" w14:paraId="72C82261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B45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7DD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取证服务器专用ups电池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81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/>
              </w:rPr>
              <w:t>▲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1)蓄电池，单节12V65AH，64节</w:t>
            </w:r>
          </w:p>
        </w:tc>
      </w:tr>
      <w:tr w:rsidR="008C2C16" w:rsidRPr="008C2C16" w14:paraId="0A69319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CA4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634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7236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在环境温度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25℃时的设计浮充寿命不低于10年。</w:t>
            </w:r>
          </w:p>
        </w:tc>
      </w:tr>
      <w:tr w:rsidR="008C2C16" w:rsidRPr="008C2C16" w14:paraId="2C0DD072" w14:textId="77777777" w:rsidTr="00A31137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F917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83D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4B8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蓄电池额定电压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12V，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额定容量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65AH（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终止电压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1.80V/单格，25℃)。</w:t>
            </w:r>
          </w:p>
        </w:tc>
      </w:tr>
      <w:tr w:rsidR="008C2C16" w:rsidRPr="008C2C16" w14:paraId="7336B451" w14:textId="77777777" w:rsidTr="00A31137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81C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87E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B11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4)蓄电池采用全密封防泄漏结构，外壳为ABS材质，无异常变形、裂纹及污迹，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上盖及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端子无损伤，正常工作时无酸雾逸出。</w:t>
            </w:r>
          </w:p>
        </w:tc>
      </w:tr>
      <w:tr w:rsidR="008C2C16" w:rsidRPr="008C2C16" w14:paraId="763B0A17" w14:textId="77777777" w:rsidTr="00A31137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0760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7B8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B2F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5)蓄电池极性正确，正负极性及端子应有明显标志，便于连接。极板厚度应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与使用寿命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相适应。</w:t>
            </w:r>
          </w:p>
        </w:tc>
      </w:tr>
      <w:tr w:rsidR="008C2C16" w:rsidRPr="008C2C16" w14:paraId="38623FAF" w14:textId="77777777" w:rsidTr="00A31137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1C6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560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B2A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6)阻燃性能：蓄电池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间连接条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、终端接头应选择导电性能优良的材料，并具有防腐蚀措施。</w:t>
            </w:r>
          </w:p>
        </w:tc>
      </w:tr>
      <w:tr w:rsidR="008C2C16" w:rsidRPr="008C2C16" w14:paraId="4322EB10" w14:textId="77777777" w:rsidTr="00A31137">
        <w:trPr>
          <w:trHeight w:val="102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63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729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0A6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柱端子结构：蓄电池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柱端子设计应方便运行维护过程中的蓄电池电压、内阻测量以及蓄电池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间连接条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紧固，并应具有防止在运行过程发生因误碰等原因造成的蓄电池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柱间短路的措施。</w:t>
            </w:r>
          </w:p>
        </w:tc>
      </w:tr>
      <w:tr w:rsidR="008C2C16" w:rsidRPr="008C2C16" w14:paraId="32E51355" w14:textId="77777777" w:rsidTr="00A31137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B2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246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F82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8)功率：15分钟率230W/单格（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终止电压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1.70V/单格，25℃</w:t>
            </w:r>
          </w:p>
        </w:tc>
      </w:tr>
      <w:tr w:rsidR="008C2C16" w:rsidRPr="008C2C16" w14:paraId="73B1FAB8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7BB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310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EF4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9)参考重量：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≤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24kg</w:t>
            </w:r>
          </w:p>
        </w:tc>
      </w:tr>
      <w:tr w:rsidR="008C2C16" w:rsidRPr="008C2C16" w14:paraId="386354A6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4E7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A61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793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短路电流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：2500A</w:t>
            </w:r>
          </w:p>
        </w:tc>
      </w:tr>
      <w:tr w:rsidR="008C2C16" w:rsidRPr="008C2C16" w14:paraId="7A176326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323D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F08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794D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最大放电电流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：780A（5秒）</w:t>
            </w:r>
          </w:p>
        </w:tc>
      </w:tr>
      <w:tr w:rsidR="008C2C16" w:rsidRPr="008C2C16" w14:paraId="46D6794D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A36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ED1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B3B8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内阻（完全充电态）：4.7mΩ</w:t>
            </w:r>
          </w:p>
        </w:tc>
      </w:tr>
      <w:tr w:rsidR="008C2C16" w:rsidRPr="008C2C16" w14:paraId="6473423E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688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A1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53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13)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工作温度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范围：-15~45℃</w:t>
            </w:r>
          </w:p>
        </w:tc>
      </w:tr>
      <w:tr w:rsidR="008C2C16" w:rsidRPr="008C2C16" w14:paraId="7893806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C0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CFE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54FF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14)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正常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的工作温度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：25±3℃</w:t>
            </w:r>
          </w:p>
        </w:tc>
      </w:tr>
      <w:tr w:rsidR="008C2C16" w:rsidRPr="008C2C16" w14:paraId="19F8F93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80A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581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3B6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15)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浮充电压：13.62V。</w:t>
            </w:r>
          </w:p>
        </w:tc>
      </w:tr>
      <w:tr w:rsidR="008C2C16" w:rsidRPr="008C2C16" w14:paraId="2177E38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C976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2D8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7FE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16)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均充电压：14.1V。</w:t>
            </w:r>
          </w:p>
        </w:tc>
      </w:tr>
      <w:tr w:rsidR="008C2C16" w:rsidRPr="008C2C16" w14:paraId="1F8E987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F89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ED0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0647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17)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最大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充电电流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：16.25A。</w:t>
            </w:r>
          </w:p>
        </w:tc>
      </w:tr>
      <w:tr w:rsidR="008C2C16" w:rsidRPr="008C2C16" w14:paraId="1F453D7F" w14:textId="77777777" w:rsidTr="00A31137">
        <w:trPr>
          <w:trHeight w:val="7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58A2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050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F1DC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18)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温度补偿系数：阀控蓄电池的温度补偿系数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受环境温度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影响，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基准温度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为25℃时，每下降1℃，单体2V阀控蓄电池</w:t>
            </w:r>
            <w:proofErr w:type="gram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浮</w:t>
            </w:r>
            <w:proofErr w:type="gramEnd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充电压值应提高（3～5）mV。</w:t>
            </w:r>
          </w:p>
        </w:tc>
      </w:tr>
      <w:tr w:rsidR="008C2C16" w:rsidRPr="008C2C16" w14:paraId="1401991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E9E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438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362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19)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适用标准：GB/T 19638.1/2；IEC 60896-21/22</w:t>
            </w:r>
          </w:p>
        </w:tc>
      </w:tr>
      <w:tr w:rsidR="008C2C16" w:rsidRPr="008C2C16" w14:paraId="6E4C56D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9D913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4B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68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20)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电池连接套件</w:t>
            </w:r>
          </w:p>
        </w:tc>
      </w:tr>
      <w:tr w:rsidR="008C2C16" w:rsidRPr="008C2C16" w14:paraId="2197ED5B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BED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E33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856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21)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配套线缆及其他辅材/安装</w:t>
            </w:r>
          </w:p>
        </w:tc>
      </w:tr>
      <w:tr w:rsidR="008C2C16" w:rsidRPr="008C2C16" w14:paraId="5C2EC8CC" w14:textId="77777777" w:rsidTr="00A3113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83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1D7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证据编辑显示屏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FC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1)屏幕尺寸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31.5英寸</w:t>
            </w:r>
          </w:p>
        </w:tc>
      </w:tr>
      <w:tr w:rsidR="008C2C16" w:rsidRPr="008C2C16" w14:paraId="21EBF5BA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135A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23F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4E8B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2)显示亮度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300cd/m2</w:t>
            </w:r>
          </w:p>
        </w:tc>
      </w:tr>
      <w:tr w:rsidR="008C2C16" w:rsidRPr="008C2C16" w14:paraId="010425B3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A221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9B8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69E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3)WQHD2560*1440</w:t>
            </w:r>
          </w:p>
        </w:tc>
      </w:tr>
      <w:tr w:rsidR="008C2C16" w:rsidRPr="008C2C16" w14:paraId="5D636656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FDCD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356A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E87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4)刷新率</w:t>
            </w:r>
            <w:r w:rsidRPr="008C2C16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144Hz</w:t>
            </w:r>
          </w:p>
        </w:tc>
      </w:tr>
      <w:tr w:rsidR="008C2C16" w:rsidRPr="008C2C16" w14:paraId="3DC9915A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DF2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13A5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5C10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5)1800R曲率</w:t>
            </w:r>
          </w:p>
        </w:tc>
      </w:tr>
      <w:tr w:rsidR="008C2C16" w:rsidRPr="008C2C16" w14:paraId="0FE81844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04B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46E5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16D7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6)125%SRGB</w:t>
            </w:r>
          </w:p>
        </w:tc>
      </w:tr>
      <w:tr w:rsidR="008C2C16" w:rsidRPr="008C2C16" w14:paraId="0231133B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9A3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A5C0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1D5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7)</w:t>
            </w:r>
            <w:proofErr w:type="spell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FreeSync</w:t>
            </w:r>
            <w:proofErr w:type="spellEnd"/>
          </w:p>
        </w:tc>
      </w:tr>
      <w:tr w:rsidR="008C2C16" w:rsidRPr="008C2C16" w14:paraId="294D177A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72A9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A880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3BBA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8)内置</w:t>
            </w:r>
            <w:proofErr w:type="spellStart"/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DisplayWidget</w:t>
            </w:r>
            <w:proofErr w:type="spellEnd"/>
          </w:p>
        </w:tc>
      </w:tr>
      <w:tr w:rsidR="008C2C16" w:rsidRPr="008C2C16" w14:paraId="23366A08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730C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510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3FD4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9)左右旋转-50°至50°</w:t>
            </w:r>
          </w:p>
        </w:tc>
      </w:tr>
      <w:tr w:rsidR="008C2C16" w:rsidRPr="008C2C16" w14:paraId="432AC805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695A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A79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3C7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10)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高低调整0至100mm</w:t>
            </w:r>
          </w:p>
        </w:tc>
      </w:tr>
      <w:tr w:rsidR="008C2C16" w:rsidRPr="008C2C16" w14:paraId="4007066D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4E6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45B7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33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11)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俯仰角度调整-5°至20°</w:t>
            </w:r>
          </w:p>
        </w:tc>
      </w:tr>
      <w:tr w:rsidR="008C2C16" w:rsidRPr="008C2C16" w14:paraId="3E2A147C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6574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F586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DC1E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12)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响应时间4ms</w:t>
            </w:r>
          </w:p>
        </w:tc>
      </w:tr>
      <w:tr w:rsidR="008C2C16" w:rsidRPr="008C2C16" w14:paraId="64038E3C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AB9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4ACA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78C9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13)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对比度3000:1</w:t>
            </w:r>
          </w:p>
        </w:tc>
      </w:tr>
      <w:tr w:rsidR="008C2C16" w:rsidRPr="008C2C16" w14:paraId="780E642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7E1E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3B6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F8F3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14)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色数16.7M</w:t>
            </w:r>
          </w:p>
        </w:tc>
      </w:tr>
      <w:tr w:rsidR="008C2C16" w:rsidRPr="008C2C16" w14:paraId="015E0391" w14:textId="77777777" w:rsidTr="00A3113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4EBB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48CF" w14:textId="77777777" w:rsidR="008C2C16" w:rsidRPr="008C2C16" w:rsidRDefault="008C2C16" w:rsidP="008C2C16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DDC1" w14:textId="77777777" w:rsidR="008C2C16" w:rsidRPr="008C2C16" w:rsidRDefault="008C2C16" w:rsidP="008C2C16">
            <w:pPr>
              <w:widowControl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15)</w:t>
            </w:r>
            <w:r w:rsidRPr="008C2C16">
              <w:rPr>
                <w:rFonts w:ascii="Times New Roman" w:eastAsia="新宋体" w:hAnsi="Times New Roman"/>
                <w:color w:val="000000"/>
                <w:kern w:val="0"/>
                <w:sz w:val="14"/>
                <w:szCs w:val="14"/>
              </w:rPr>
              <w:t xml:space="preserve">  </w:t>
            </w:r>
            <w:r w:rsidRPr="008C2C1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接口HDMI1个USB扩展/充电3个DP1个</w:t>
            </w:r>
          </w:p>
        </w:tc>
      </w:tr>
    </w:tbl>
    <w:p w14:paraId="0EBB8BF9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szCs w:val="21"/>
        </w:rPr>
      </w:pPr>
    </w:p>
    <w:p w14:paraId="4BF58F12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szCs w:val="21"/>
        </w:rPr>
      </w:pPr>
    </w:p>
    <w:p w14:paraId="267E930C" w14:textId="33746C5A" w:rsidR="008C2C16" w:rsidRPr="008C2C16" w:rsidRDefault="008C2C16" w:rsidP="008C2C16">
      <w:pPr>
        <w:widowControl/>
        <w:spacing w:after="100" w:afterAutospacing="1"/>
        <w:jc w:val="left"/>
        <w:rPr>
          <w:rFonts w:ascii="华文中宋" w:eastAsia="华文中宋" w:hAnsi="华文中宋"/>
          <w:kern w:val="0"/>
          <w:sz w:val="28"/>
          <w:szCs w:val="28"/>
        </w:rPr>
      </w:pPr>
      <w:r>
        <w:rPr>
          <w:rFonts w:ascii="华文中宋" w:eastAsia="华文中宋" w:hAnsi="华文中宋" w:hint="eastAsia"/>
          <w:kern w:val="0"/>
          <w:sz w:val="28"/>
          <w:szCs w:val="28"/>
        </w:rPr>
        <w:t>四</w:t>
      </w:r>
      <w:r w:rsidRPr="008C2C16">
        <w:rPr>
          <w:rFonts w:ascii="华文中宋" w:eastAsia="华文中宋" w:hAnsi="华文中宋" w:hint="eastAsia"/>
          <w:kern w:val="0"/>
          <w:sz w:val="28"/>
          <w:szCs w:val="28"/>
        </w:rPr>
        <w:t>、商务需求</w:t>
      </w:r>
    </w:p>
    <w:p w14:paraId="60DC0BEC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b/>
          <w:szCs w:val="21"/>
        </w:rPr>
      </w:pPr>
      <w:r w:rsidRPr="008C2C16">
        <w:rPr>
          <w:rFonts w:ascii="新宋体" w:eastAsia="新宋体" w:hAnsi="新宋体" w:hint="eastAsia"/>
          <w:b/>
          <w:szCs w:val="21"/>
        </w:rPr>
        <w:t>说明：1、带“</w:t>
      </w:r>
      <w:r w:rsidRPr="008C2C16">
        <w:rPr>
          <w:rFonts w:ascii="新宋体" w:eastAsia="新宋体" w:hAnsi="新宋体" w:cs="宋体" w:hint="eastAsia"/>
          <w:b/>
          <w:szCs w:val="21"/>
        </w:rPr>
        <w:t>★</w:t>
      </w:r>
      <w:r w:rsidRPr="008C2C16">
        <w:rPr>
          <w:rFonts w:ascii="新宋体" w:eastAsia="新宋体" w:hAnsi="新宋体" w:hint="eastAsia"/>
          <w:b/>
          <w:szCs w:val="21"/>
        </w:rPr>
        <w:t>”指标项为实质性条款，如出现负偏离，将被视为未实质性满足</w:t>
      </w:r>
      <w:proofErr w:type="gramStart"/>
      <w:r w:rsidRPr="008C2C16">
        <w:rPr>
          <w:rFonts w:ascii="新宋体" w:eastAsia="新宋体" w:hAnsi="新宋体" w:hint="eastAsia"/>
          <w:b/>
          <w:szCs w:val="21"/>
        </w:rPr>
        <w:t>招标文件</w:t>
      </w:r>
      <w:proofErr w:type="gramEnd"/>
      <w:r w:rsidRPr="008C2C16">
        <w:rPr>
          <w:rFonts w:ascii="新宋体" w:eastAsia="新宋体" w:hAnsi="新宋体" w:hint="eastAsia"/>
          <w:b/>
          <w:szCs w:val="21"/>
        </w:rPr>
        <w:t>要求作投标无效处理。</w:t>
      </w:r>
    </w:p>
    <w:p w14:paraId="74C25165" w14:textId="77777777" w:rsidR="008C2C16" w:rsidRPr="008C2C16" w:rsidRDefault="008C2C16" w:rsidP="008C2C16">
      <w:pPr>
        <w:spacing w:line="360" w:lineRule="auto"/>
        <w:rPr>
          <w:rFonts w:ascii="新宋体" w:eastAsia="新宋体" w:hAnsi="新宋体"/>
          <w:szCs w:val="21"/>
        </w:rPr>
      </w:pPr>
      <w:r w:rsidRPr="008C2C16">
        <w:rPr>
          <w:rFonts w:ascii="新宋体" w:eastAsia="新宋体" w:hAnsi="新宋体" w:hint="eastAsia"/>
          <w:b/>
          <w:szCs w:val="21"/>
        </w:rPr>
        <w:t>2、评分时，如对一项招标商务需求（以划分</w:t>
      </w:r>
      <w:bookmarkStart w:id="1" w:name="_GoBack"/>
      <w:bookmarkEnd w:id="1"/>
      <w:r w:rsidRPr="008C2C16">
        <w:rPr>
          <w:rFonts w:ascii="新宋体" w:eastAsia="新宋体" w:hAnsi="新宋体" w:hint="eastAsia"/>
          <w:b/>
          <w:szCs w:val="21"/>
        </w:rPr>
        <w:t>框为准，一个划分框是作为一项招标商务需求）中的内容存在两处（或以上）负偏离的，在评分时只作一项负偏离扣分。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410"/>
      </w:tblGrid>
      <w:tr w:rsidR="008C2C16" w:rsidRPr="008C2C16" w14:paraId="3FA52FCF" w14:textId="77777777" w:rsidTr="00A31137">
        <w:trPr>
          <w:trHeight w:val="397"/>
        </w:trPr>
        <w:tc>
          <w:tcPr>
            <w:tcW w:w="709" w:type="dxa"/>
            <w:vAlign w:val="center"/>
          </w:tcPr>
          <w:p w14:paraId="5DB988C6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C2C16">
              <w:rPr>
                <w:rFonts w:ascii="新宋体" w:eastAsia="新宋体" w:hAnsi="新宋体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31C10227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C2C16">
              <w:rPr>
                <w:rFonts w:ascii="新宋体" w:eastAsia="新宋体" w:hAnsi="新宋体" w:hint="eastAsia"/>
                <w:b/>
                <w:szCs w:val="21"/>
              </w:rPr>
              <w:t>目录</w:t>
            </w:r>
          </w:p>
        </w:tc>
        <w:tc>
          <w:tcPr>
            <w:tcW w:w="6410" w:type="dxa"/>
            <w:vAlign w:val="center"/>
          </w:tcPr>
          <w:p w14:paraId="547C4D10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8C2C16">
              <w:rPr>
                <w:rFonts w:ascii="新宋体" w:eastAsia="新宋体" w:hAnsi="新宋体" w:hint="eastAsia"/>
                <w:b/>
                <w:szCs w:val="21"/>
              </w:rPr>
              <w:t>招标商务需求</w:t>
            </w:r>
          </w:p>
        </w:tc>
      </w:tr>
      <w:tr w:rsidR="008C2C16" w:rsidRPr="008C2C16" w14:paraId="7C8583E5" w14:textId="77777777" w:rsidTr="00A31137">
        <w:trPr>
          <w:trHeight w:val="280"/>
        </w:trPr>
        <w:tc>
          <w:tcPr>
            <w:tcW w:w="8820" w:type="dxa"/>
            <w:gridSpan w:val="3"/>
          </w:tcPr>
          <w:p w14:paraId="3F27FF9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（一）免费保修期内售后服务要求</w:t>
            </w:r>
          </w:p>
        </w:tc>
      </w:tr>
      <w:tr w:rsidR="008C2C16" w:rsidRPr="008C2C16" w14:paraId="44BC821C" w14:textId="77777777" w:rsidTr="00A31137">
        <w:trPr>
          <w:trHeight w:val="320"/>
        </w:trPr>
        <w:tc>
          <w:tcPr>
            <w:tcW w:w="709" w:type="dxa"/>
            <w:vAlign w:val="center"/>
          </w:tcPr>
          <w:p w14:paraId="2921D6F0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123F7AA6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维修响应及故障解决时间</w:t>
            </w:r>
          </w:p>
        </w:tc>
        <w:tc>
          <w:tcPr>
            <w:tcW w:w="6410" w:type="dxa"/>
          </w:tcPr>
          <w:p w14:paraId="2850F465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在保修期内，一旦发生质量问题，投标人保证在接到通知24小时内赶到现场进行修理或更换。</w:t>
            </w:r>
          </w:p>
        </w:tc>
      </w:tr>
      <w:tr w:rsidR="008C2C16" w:rsidRPr="008C2C16" w14:paraId="34D485EB" w14:textId="77777777" w:rsidTr="00A31137">
        <w:trPr>
          <w:trHeight w:val="320"/>
        </w:trPr>
        <w:tc>
          <w:tcPr>
            <w:tcW w:w="709" w:type="dxa"/>
            <w:vAlign w:val="center"/>
          </w:tcPr>
          <w:p w14:paraId="0ED84796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701" w:type="dxa"/>
          </w:tcPr>
          <w:p w14:paraId="1A3F100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关于免费保修期</w:t>
            </w:r>
          </w:p>
        </w:tc>
        <w:tc>
          <w:tcPr>
            <w:tcW w:w="6410" w:type="dxa"/>
          </w:tcPr>
          <w:p w14:paraId="00576BF0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产品提供保修期1年，时间</w:t>
            </w:r>
            <w:proofErr w:type="gramStart"/>
            <w:r w:rsidRPr="008C2C16">
              <w:rPr>
                <w:rFonts w:ascii="新宋体" w:eastAsia="新宋体" w:hAnsi="新宋体" w:hint="eastAsia"/>
                <w:szCs w:val="21"/>
              </w:rPr>
              <w:t>自最终</w:t>
            </w:r>
            <w:proofErr w:type="gramEnd"/>
            <w:r w:rsidRPr="008C2C16">
              <w:rPr>
                <w:rFonts w:ascii="新宋体" w:eastAsia="新宋体" w:hAnsi="新宋体" w:hint="eastAsia"/>
                <w:szCs w:val="21"/>
              </w:rPr>
              <w:t>验收合格并交付使用之日起计算。</w:t>
            </w:r>
          </w:p>
        </w:tc>
      </w:tr>
      <w:tr w:rsidR="008C2C16" w:rsidRPr="008C2C16" w14:paraId="28E1730C" w14:textId="77777777" w:rsidTr="00A31137">
        <w:trPr>
          <w:trHeight w:val="85"/>
        </w:trPr>
        <w:tc>
          <w:tcPr>
            <w:tcW w:w="709" w:type="dxa"/>
            <w:vAlign w:val="center"/>
          </w:tcPr>
          <w:p w14:paraId="582256E5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6C853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其他</w:t>
            </w:r>
          </w:p>
        </w:tc>
        <w:tc>
          <w:tcPr>
            <w:tcW w:w="6410" w:type="dxa"/>
            <w:vAlign w:val="center"/>
          </w:tcPr>
          <w:p w14:paraId="363EF8F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投标人应按其投标文件中的承诺，进行其他售后服务工作。</w:t>
            </w:r>
          </w:p>
        </w:tc>
      </w:tr>
      <w:tr w:rsidR="008C2C16" w:rsidRPr="008C2C16" w14:paraId="705498F8" w14:textId="77777777" w:rsidTr="00A31137">
        <w:trPr>
          <w:trHeight w:val="280"/>
        </w:trPr>
        <w:tc>
          <w:tcPr>
            <w:tcW w:w="8820" w:type="dxa"/>
            <w:gridSpan w:val="3"/>
          </w:tcPr>
          <w:p w14:paraId="6C0754FF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（二）免费保修期外售后服务要求（可选）</w:t>
            </w:r>
          </w:p>
        </w:tc>
      </w:tr>
      <w:tr w:rsidR="008C2C16" w:rsidRPr="008C2C16" w14:paraId="18A6B07B" w14:textId="77777777" w:rsidTr="00A31137">
        <w:trPr>
          <w:trHeight w:val="350"/>
        </w:trPr>
        <w:tc>
          <w:tcPr>
            <w:tcW w:w="709" w:type="dxa"/>
            <w:vAlign w:val="center"/>
          </w:tcPr>
          <w:p w14:paraId="787D564E" w14:textId="77777777" w:rsidR="008C2C16" w:rsidRPr="008C2C16" w:rsidRDefault="008C2C16" w:rsidP="008C2C16">
            <w:pPr>
              <w:spacing w:line="276" w:lineRule="auto"/>
              <w:jc w:val="center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7B64E40C" w14:textId="77777777" w:rsidR="008C2C16" w:rsidRPr="008C2C16" w:rsidRDefault="008C2C16" w:rsidP="008C2C16">
            <w:pPr>
              <w:spacing w:line="276" w:lineRule="auto"/>
              <w:jc w:val="left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售后服务</w:t>
            </w:r>
          </w:p>
        </w:tc>
        <w:tc>
          <w:tcPr>
            <w:tcW w:w="6410" w:type="dxa"/>
            <w:vAlign w:val="center"/>
          </w:tcPr>
          <w:p w14:paraId="688D87F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免费保修期满后，应按其在深圳地区同类产品的最优惠价格提供服务和零件。</w:t>
            </w:r>
          </w:p>
        </w:tc>
      </w:tr>
      <w:tr w:rsidR="008C2C16" w:rsidRPr="008C2C16" w14:paraId="519185CC" w14:textId="77777777" w:rsidTr="00A31137">
        <w:trPr>
          <w:trHeight w:val="350"/>
        </w:trPr>
        <w:tc>
          <w:tcPr>
            <w:tcW w:w="8820" w:type="dxa"/>
            <w:gridSpan w:val="3"/>
          </w:tcPr>
          <w:p w14:paraId="4DCD21AB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（三）其他商务要求</w:t>
            </w:r>
          </w:p>
        </w:tc>
      </w:tr>
      <w:tr w:rsidR="008C2C16" w:rsidRPr="008C2C16" w14:paraId="4919FA98" w14:textId="77777777" w:rsidTr="00A31137">
        <w:trPr>
          <w:trHeight w:val="375"/>
        </w:trPr>
        <w:tc>
          <w:tcPr>
            <w:tcW w:w="709" w:type="dxa"/>
            <w:vMerge w:val="restart"/>
            <w:vAlign w:val="center"/>
          </w:tcPr>
          <w:p w14:paraId="56C6B36E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1FDE7860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关于交货</w:t>
            </w:r>
          </w:p>
        </w:tc>
        <w:tc>
          <w:tcPr>
            <w:tcW w:w="6410" w:type="dxa"/>
          </w:tcPr>
          <w:p w14:paraId="34BCC68E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1.1交货地点：指定地点交货</w:t>
            </w:r>
          </w:p>
        </w:tc>
      </w:tr>
      <w:tr w:rsidR="008C2C16" w:rsidRPr="008C2C16" w14:paraId="7445E11A" w14:textId="77777777" w:rsidTr="00A31137">
        <w:trPr>
          <w:trHeight w:val="376"/>
        </w:trPr>
        <w:tc>
          <w:tcPr>
            <w:tcW w:w="709" w:type="dxa"/>
            <w:vMerge/>
            <w:vAlign w:val="center"/>
          </w:tcPr>
          <w:p w14:paraId="04AF7E3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B8A24D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10" w:type="dxa"/>
          </w:tcPr>
          <w:p w14:paraId="5DB4985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1.2投标人必须承担的设备运输、安装调试、验收检测和提供设备操作说明书、图纸等其他类似的义务。</w:t>
            </w:r>
          </w:p>
        </w:tc>
      </w:tr>
      <w:tr w:rsidR="008C2C16" w:rsidRPr="008C2C16" w14:paraId="7F75E42D" w14:textId="77777777" w:rsidTr="00A31137">
        <w:trPr>
          <w:trHeight w:val="91"/>
        </w:trPr>
        <w:tc>
          <w:tcPr>
            <w:tcW w:w="709" w:type="dxa"/>
            <w:vMerge/>
            <w:vAlign w:val="center"/>
          </w:tcPr>
          <w:p w14:paraId="37D9A0ED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2FF6EF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10" w:type="dxa"/>
          </w:tcPr>
          <w:p w14:paraId="0C504BB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1.3合同签订后20</w:t>
            </w:r>
            <w:r w:rsidRPr="008C2C16">
              <w:rPr>
                <w:rFonts w:ascii="新宋体" w:eastAsia="新宋体" w:hAnsi="新宋体"/>
                <w:bCs/>
                <w:szCs w:val="21"/>
              </w:rPr>
              <w:t>个工作日内</w:t>
            </w:r>
            <w:r w:rsidRPr="008C2C16">
              <w:rPr>
                <w:rFonts w:ascii="新宋体" w:eastAsia="新宋体" w:hAnsi="新宋体" w:hint="eastAsia"/>
                <w:bCs/>
                <w:szCs w:val="21"/>
              </w:rPr>
              <w:t>交货。</w:t>
            </w:r>
          </w:p>
        </w:tc>
      </w:tr>
      <w:tr w:rsidR="008C2C16" w:rsidRPr="008C2C16" w14:paraId="429335CB" w14:textId="77777777" w:rsidTr="00A31137">
        <w:trPr>
          <w:trHeight w:val="350"/>
        </w:trPr>
        <w:tc>
          <w:tcPr>
            <w:tcW w:w="709" w:type="dxa"/>
            <w:vAlign w:val="center"/>
          </w:tcPr>
          <w:p w14:paraId="68BF88BB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16ED6DD7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关于验收</w:t>
            </w:r>
          </w:p>
        </w:tc>
        <w:tc>
          <w:tcPr>
            <w:tcW w:w="6410" w:type="dxa"/>
          </w:tcPr>
          <w:p w14:paraId="2D9B86E8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bCs/>
                <w:szCs w:val="21"/>
              </w:rPr>
            </w:pPr>
            <w:r w:rsidRPr="008C2C16">
              <w:rPr>
                <w:rFonts w:ascii="新宋体" w:eastAsia="新宋体" w:hAnsi="新宋体" w:hint="eastAsia"/>
                <w:bCs/>
                <w:szCs w:val="21"/>
              </w:rPr>
              <w:t>2.1投标人货物经过双方检验认可后，签署验收报告，产品保修期自验收合格之日起算，由投标人提供产品保修文件。</w:t>
            </w:r>
          </w:p>
        </w:tc>
      </w:tr>
      <w:tr w:rsidR="008C2C16" w:rsidRPr="008C2C16" w14:paraId="025B390D" w14:textId="77777777" w:rsidTr="00A31137">
        <w:trPr>
          <w:trHeight w:val="350"/>
        </w:trPr>
        <w:tc>
          <w:tcPr>
            <w:tcW w:w="709" w:type="dxa"/>
            <w:vMerge w:val="restart"/>
            <w:vAlign w:val="center"/>
          </w:tcPr>
          <w:p w14:paraId="2483797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3</w:t>
            </w:r>
          </w:p>
        </w:tc>
        <w:tc>
          <w:tcPr>
            <w:tcW w:w="1701" w:type="dxa"/>
            <w:vMerge w:val="restart"/>
          </w:tcPr>
          <w:p w14:paraId="62D7F0CB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关于违约</w:t>
            </w:r>
          </w:p>
        </w:tc>
        <w:tc>
          <w:tcPr>
            <w:tcW w:w="6410" w:type="dxa"/>
          </w:tcPr>
          <w:p w14:paraId="113D93C9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3.1中标人不能交货的，需偿付不能交货部分货款的%的违约金并按主管部门相关规定处理。</w:t>
            </w:r>
          </w:p>
        </w:tc>
      </w:tr>
      <w:tr w:rsidR="008C2C16" w:rsidRPr="008C2C16" w14:paraId="73FD8AFE" w14:textId="77777777" w:rsidTr="00A31137">
        <w:trPr>
          <w:trHeight w:val="350"/>
        </w:trPr>
        <w:tc>
          <w:tcPr>
            <w:tcW w:w="709" w:type="dxa"/>
            <w:vMerge/>
            <w:vAlign w:val="center"/>
          </w:tcPr>
          <w:p w14:paraId="00A84F97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Merge/>
          </w:tcPr>
          <w:p w14:paraId="5401F93F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10" w:type="dxa"/>
          </w:tcPr>
          <w:p w14:paraId="6AC3C8D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3.2中标人逾期交货的，将被没收履约保证金并按主管部门相关规定处理。</w:t>
            </w:r>
          </w:p>
        </w:tc>
      </w:tr>
      <w:tr w:rsidR="008C2C16" w:rsidRPr="008C2C16" w14:paraId="24A3AAC5" w14:textId="77777777" w:rsidTr="00A31137">
        <w:trPr>
          <w:trHeight w:val="350"/>
        </w:trPr>
        <w:tc>
          <w:tcPr>
            <w:tcW w:w="709" w:type="dxa"/>
            <w:vMerge/>
            <w:vAlign w:val="center"/>
          </w:tcPr>
          <w:p w14:paraId="60CA21C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01" w:type="dxa"/>
            <w:vMerge/>
          </w:tcPr>
          <w:p w14:paraId="457E40D5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10" w:type="dxa"/>
          </w:tcPr>
          <w:p w14:paraId="178A030C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3.3中标人所交付产品、工程或服务不符合其投标承诺的，或在投标阶段为了中标而盲目虚假承诺、低价恶性竞争，在履约阶段则通过偷工减料、以次充好而获取利润的，将被没收履约保证金，并被深圳市政府采购中心评为履约等级“差”并按主管部门相关规定处理。</w:t>
            </w:r>
          </w:p>
        </w:tc>
      </w:tr>
      <w:tr w:rsidR="008C2C16" w:rsidRPr="008C2C16" w14:paraId="14725591" w14:textId="77777777" w:rsidTr="00A31137">
        <w:trPr>
          <w:trHeight w:val="350"/>
        </w:trPr>
        <w:tc>
          <w:tcPr>
            <w:tcW w:w="709" w:type="dxa"/>
            <w:vAlign w:val="center"/>
          </w:tcPr>
          <w:p w14:paraId="35DAFF04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4</w:t>
            </w:r>
          </w:p>
        </w:tc>
        <w:tc>
          <w:tcPr>
            <w:tcW w:w="1701" w:type="dxa"/>
          </w:tcPr>
          <w:p w14:paraId="2D75FFD1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关于付款</w:t>
            </w:r>
          </w:p>
        </w:tc>
        <w:tc>
          <w:tcPr>
            <w:tcW w:w="6410" w:type="dxa"/>
          </w:tcPr>
          <w:p w14:paraId="22E3B3B8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签订合同后，采购方向中标方支付合同价款的</w:t>
            </w:r>
            <w:r w:rsidRPr="008C2C16">
              <w:rPr>
                <w:rFonts w:ascii="新宋体" w:eastAsia="新宋体" w:hAnsi="新宋体"/>
                <w:szCs w:val="21"/>
              </w:rPr>
              <w:t>50%</w:t>
            </w:r>
            <w:r w:rsidRPr="008C2C16">
              <w:rPr>
                <w:rFonts w:ascii="新宋体" w:eastAsia="新宋体" w:hAnsi="新宋体" w:hint="eastAsia"/>
                <w:szCs w:val="21"/>
              </w:rPr>
              <w:t>；中标方提供货物全部到齐，且双方签订《到货验收报告》得到采购方确认后采购方向中标方支付合同款的</w:t>
            </w:r>
            <w:r w:rsidRPr="008C2C16">
              <w:rPr>
                <w:rFonts w:ascii="新宋体" w:eastAsia="新宋体" w:hAnsi="新宋体"/>
                <w:szCs w:val="21"/>
              </w:rPr>
              <w:t>45%</w:t>
            </w:r>
            <w:r w:rsidRPr="008C2C16">
              <w:rPr>
                <w:rFonts w:ascii="新宋体" w:eastAsia="新宋体" w:hAnsi="新宋体" w:hint="eastAsia"/>
                <w:szCs w:val="21"/>
              </w:rPr>
              <w:t>，剩余合同款的</w:t>
            </w:r>
            <w:r w:rsidRPr="008C2C16">
              <w:rPr>
                <w:rFonts w:ascii="新宋体" w:eastAsia="新宋体" w:hAnsi="新宋体"/>
                <w:szCs w:val="21"/>
              </w:rPr>
              <w:t>5%</w:t>
            </w:r>
            <w:r w:rsidRPr="008C2C16">
              <w:rPr>
                <w:rFonts w:ascii="新宋体" w:eastAsia="新宋体" w:hAnsi="新宋体" w:hint="eastAsia"/>
                <w:szCs w:val="21"/>
              </w:rPr>
              <w:t>验收合格满</w:t>
            </w:r>
            <w:r w:rsidRPr="008C2C16">
              <w:rPr>
                <w:rFonts w:ascii="新宋体" w:eastAsia="新宋体" w:hAnsi="新宋体"/>
                <w:szCs w:val="21"/>
              </w:rPr>
              <w:t xml:space="preserve"> 1</w:t>
            </w:r>
            <w:r w:rsidRPr="008C2C16">
              <w:rPr>
                <w:rFonts w:ascii="新宋体" w:eastAsia="新宋体" w:hAnsi="新宋体" w:hint="eastAsia"/>
                <w:szCs w:val="21"/>
              </w:rPr>
              <w:t>个年后支付。</w:t>
            </w:r>
          </w:p>
        </w:tc>
      </w:tr>
      <w:tr w:rsidR="008C2C16" w:rsidRPr="008C2C16" w14:paraId="2B1E02C6" w14:textId="77777777" w:rsidTr="00A31137">
        <w:trPr>
          <w:trHeight w:val="350"/>
        </w:trPr>
        <w:tc>
          <w:tcPr>
            <w:tcW w:w="709" w:type="dxa"/>
            <w:vAlign w:val="center"/>
          </w:tcPr>
          <w:p w14:paraId="0149463D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5</w:t>
            </w:r>
          </w:p>
        </w:tc>
        <w:tc>
          <w:tcPr>
            <w:tcW w:w="1701" w:type="dxa"/>
          </w:tcPr>
          <w:p w14:paraId="73184C3A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安装</w:t>
            </w:r>
            <w:r w:rsidRPr="008C2C16">
              <w:rPr>
                <w:rFonts w:ascii="新宋体" w:eastAsia="新宋体" w:hAnsi="新宋体"/>
                <w:szCs w:val="21"/>
              </w:rPr>
              <w:t>与培训</w:t>
            </w:r>
          </w:p>
        </w:tc>
        <w:tc>
          <w:tcPr>
            <w:tcW w:w="6410" w:type="dxa"/>
          </w:tcPr>
          <w:p w14:paraId="06314483" w14:textId="77777777" w:rsidR="008C2C16" w:rsidRPr="008C2C16" w:rsidRDefault="008C2C16" w:rsidP="008C2C16">
            <w:pPr>
              <w:spacing w:line="276" w:lineRule="auto"/>
              <w:rPr>
                <w:rFonts w:ascii="新宋体" w:eastAsia="新宋体" w:hAnsi="新宋体"/>
                <w:szCs w:val="21"/>
              </w:rPr>
            </w:pPr>
            <w:r w:rsidRPr="008C2C16">
              <w:rPr>
                <w:rFonts w:ascii="新宋体" w:eastAsia="新宋体" w:hAnsi="新宋体" w:hint="eastAsia"/>
                <w:szCs w:val="21"/>
              </w:rPr>
              <w:t>在固定的现场完成安装并提供培训。</w:t>
            </w:r>
          </w:p>
        </w:tc>
      </w:tr>
    </w:tbl>
    <w:p w14:paraId="28E258FF" w14:textId="77777777" w:rsidR="00F97AF3" w:rsidRPr="008C2C16" w:rsidRDefault="008C2C16"/>
    <w:sectPr w:rsidR="00F97AF3" w:rsidRPr="008C2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7EE48" w14:textId="77777777" w:rsidR="008C2C16" w:rsidRDefault="008C2C16" w:rsidP="008C2C16">
      <w:r>
        <w:separator/>
      </w:r>
    </w:p>
  </w:endnote>
  <w:endnote w:type="continuationSeparator" w:id="0">
    <w:p w14:paraId="6806E4C0" w14:textId="77777777" w:rsidR="008C2C16" w:rsidRDefault="008C2C16" w:rsidP="008C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865E0" w14:textId="77777777" w:rsidR="008C2C16" w:rsidRDefault="008C2C16" w:rsidP="008C2C16">
      <w:r>
        <w:separator/>
      </w:r>
    </w:p>
  </w:footnote>
  <w:footnote w:type="continuationSeparator" w:id="0">
    <w:p w14:paraId="5789E11E" w14:textId="77777777" w:rsidR="008C2C16" w:rsidRDefault="008C2C16" w:rsidP="008C2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64"/>
    <w:rsid w:val="00016483"/>
    <w:rsid w:val="00191962"/>
    <w:rsid w:val="002E0F09"/>
    <w:rsid w:val="006949CB"/>
    <w:rsid w:val="007C6964"/>
    <w:rsid w:val="008C2C16"/>
    <w:rsid w:val="00DA4612"/>
    <w:rsid w:val="00E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2D00"/>
  <w15:chartTrackingRefBased/>
  <w15:docId w15:val="{C55CA66E-1791-42A8-90DC-8F06061C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4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4612"/>
    <w:rPr>
      <w:b/>
      <w:bCs/>
    </w:rPr>
  </w:style>
  <w:style w:type="character" w:styleId="a4">
    <w:name w:val="Emphasis"/>
    <w:basedOn w:val="a0"/>
    <w:qFormat/>
    <w:rsid w:val="00DA4612"/>
    <w:rPr>
      <w:i/>
    </w:rPr>
  </w:style>
  <w:style w:type="paragraph" w:styleId="a5">
    <w:name w:val="List Paragraph"/>
    <w:basedOn w:val="a"/>
    <w:uiPriority w:val="99"/>
    <w:qFormat/>
    <w:rsid w:val="00DA461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8C2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C2C16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C2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C2C1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H1762</dc:creator>
  <cp:keywords/>
  <dc:description/>
  <cp:lastModifiedBy>H1762</cp:lastModifiedBy>
  <cp:revision>2</cp:revision>
  <dcterms:created xsi:type="dcterms:W3CDTF">2020-07-08T03:15:00Z</dcterms:created>
  <dcterms:modified xsi:type="dcterms:W3CDTF">2020-07-08T03:16:00Z</dcterms:modified>
</cp:coreProperties>
</file>