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rPr>
      </w:pPr>
      <w:r>
        <w:rPr>
          <w:rFonts w:ascii="黑体" w:hAnsi="黑体" w:eastAsia="黑体"/>
        </w:rPr>
        <w:tab/>
      </w:r>
      <w:bookmarkStart w:id="0" w:name="_Toc32271"/>
      <w:r>
        <w:rPr>
          <w:rFonts w:hint="eastAsia" w:ascii="黑体" w:hAnsi="黑体" w:eastAsia="黑体"/>
        </w:rPr>
        <w:t>第二部分　技术部分</w:t>
      </w:r>
      <w:bookmarkEnd w:id="0"/>
    </w:p>
    <w:p>
      <w:pPr>
        <w:pStyle w:val="3"/>
        <w:jc w:val="center"/>
        <w:rPr>
          <w:rFonts w:ascii="新宋体" w:hAnsi="新宋体" w:eastAsia="新宋体"/>
        </w:rPr>
      </w:pPr>
      <w:bookmarkStart w:id="1" w:name="_Toc26599"/>
      <w:r>
        <w:rPr>
          <w:rFonts w:hint="eastAsia" w:ascii="新宋体" w:hAnsi="新宋体" w:eastAsia="新宋体"/>
        </w:rPr>
        <w:t>第六章　项目采购需求</w:t>
      </w:r>
      <w:bookmarkEnd w:id="1"/>
    </w:p>
    <w:p>
      <w:pPr>
        <w:pStyle w:val="3"/>
        <w:spacing w:line="360" w:lineRule="auto"/>
        <w:jc w:val="center"/>
        <w:rPr>
          <w:rFonts w:ascii="新宋体" w:hAnsi="新宋体" w:eastAsia="新宋体"/>
          <w:sz w:val="24"/>
          <w:szCs w:val="24"/>
        </w:rPr>
      </w:pPr>
      <w:bookmarkStart w:id="2" w:name="_Toc24999"/>
      <w:r>
        <w:rPr>
          <w:rFonts w:hint="eastAsia" w:ascii="新宋体" w:hAnsi="新宋体" w:eastAsia="新宋体"/>
          <w:sz w:val="24"/>
          <w:szCs w:val="24"/>
        </w:rPr>
        <w:t>第一节 项目概述</w:t>
      </w:r>
      <w:bookmarkEnd w:id="2"/>
    </w:p>
    <w:p>
      <w:pPr>
        <w:pStyle w:val="4"/>
        <w:spacing w:line="360" w:lineRule="auto"/>
        <w:rPr>
          <w:rFonts w:ascii="新宋体" w:hAnsi="新宋体" w:eastAsia="新宋体"/>
          <w:sz w:val="24"/>
          <w:szCs w:val="24"/>
        </w:rPr>
      </w:pPr>
      <w:r>
        <w:rPr>
          <w:rFonts w:hint="eastAsia" w:ascii="新宋体" w:hAnsi="新宋体" w:eastAsia="新宋体"/>
          <w:sz w:val="24"/>
          <w:szCs w:val="24"/>
        </w:rPr>
        <w:t>一、采购货物或服务清单</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02"/>
        <w:gridCol w:w="717"/>
        <w:gridCol w:w="835"/>
        <w:gridCol w:w="25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noWrap w:val="0"/>
            <w:vAlign w:val="center"/>
          </w:tcPr>
          <w:p>
            <w:pPr>
              <w:spacing w:line="360" w:lineRule="auto"/>
              <w:jc w:val="center"/>
              <w:rPr>
                <w:rFonts w:ascii="宋体" w:hAnsi="宋体"/>
                <w:b/>
                <w:bCs/>
                <w:sz w:val="24"/>
                <w:szCs w:val="24"/>
              </w:rPr>
            </w:pPr>
            <w:r>
              <w:rPr>
                <w:rFonts w:hint="eastAsia" w:ascii="宋体" w:hAnsi="宋体"/>
                <w:b/>
                <w:bCs/>
                <w:sz w:val="24"/>
                <w:szCs w:val="24"/>
              </w:rPr>
              <w:t>序号</w:t>
            </w:r>
          </w:p>
        </w:tc>
        <w:tc>
          <w:tcPr>
            <w:tcW w:w="3402" w:type="dxa"/>
            <w:noWrap w:val="0"/>
            <w:vAlign w:val="center"/>
          </w:tcPr>
          <w:p>
            <w:pPr>
              <w:spacing w:line="360" w:lineRule="auto"/>
              <w:jc w:val="center"/>
              <w:rPr>
                <w:rFonts w:ascii="宋体" w:hAnsi="宋体"/>
                <w:b/>
                <w:bCs/>
                <w:sz w:val="24"/>
                <w:szCs w:val="24"/>
              </w:rPr>
            </w:pPr>
            <w:r>
              <w:rPr>
                <w:rFonts w:hint="eastAsia" w:ascii="宋体" w:hAnsi="宋体"/>
                <w:b/>
                <w:bCs/>
                <w:sz w:val="24"/>
                <w:szCs w:val="24"/>
              </w:rPr>
              <w:t>名称</w:t>
            </w:r>
          </w:p>
        </w:tc>
        <w:tc>
          <w:tcPr>
            <w:tcW w:w="717" w:type="dxa"/>
            <w:noWrap w:val="0"/>
            <w:vAlign w:val="center"/>
          </w:tcPr>
          <w:p>
            <w:pPr>
              <w:spacing w:line="360" w:lineRule="auto"/>
              <w:jc w:val="center"/>
              <w:rPr>
                <w:rFonts w:ascii="宋体" w:hAnsi="宋体"/>
                <w:b/>
                <w:bCs/>
                <w:sz w:val="24"/>
                <w:szCs w:val="24"/>
              </w:rPr>
            </w:pPr>
            <w:r>
              <w:rPr>
                <w:rFonts w:hint="eastAsia" w:ascii="宋体" w:hAnsi="宋体"/>
                <w:b/>
                <w:bCs/>
                <w:sz w:val="24"/>
                <w:szCs w:val="24"/>
              </w:rPr>
              <w:t>单位</w:t>
            </w:r>
          </w:p>
        </w:tc>
        <w:tc>
          <w:tcPr>
            <w:tcW w:w="835" w:type="dxa"/>
            <w:noWrap w:val="0"/>
            <w:vAlign w:val="center"/>
          </w:tcPr>
          <w:p>
            <w:pPr>
              <w:spacing w:line="360" w:lineRule="auto"/>
              <w:jc w:val="center"/>
              <w:rPr>
                <w:rFonts w:ascii="宋体" w:hAnsi="宋体"/>
                <w:b/>
                <w:bCs/>
                <w:sz w:val="24"/>
                <w:szCs w:val="24"/>
              </w:rPr>
            </w:pPr>
            <w:r>
              <w:rPr>
                <w:rFonts w:hint="eastAsia" w:ascii="宋体" w:hAnsi="宋体"/>
                <w:b/>
                <w:bCs/>
                <w:sz w:val="24"/>
                <w:szCs w:val="24"/>
              </w:rPr>
              <w:t>数量</w:t>
            </w:r>
          </w:p>
        </w:tc>
        <w:tc>
          <w:tcPr>
            <w:tcW w:w="2559" w:type="dxa"/>
            <w:noWrap w:val="0"/>
            <w:vAlign w:val="center"/>
          </w:tcPr>
          <w:p>
            <w:pPr>
              <w:spacing w:line="360" w:lineRule="auto"/>
              <w:jc w:val="center"/>
              <w:rPr>
                <w:rFonts w:ascii="宋体" w:hAnsi="宋体"/>
                <w:b/>
                <w:bCs/>
                <w:sz w:val="24"/>
                <w:szCs w:val="24"/>
              </w:rPr>
            </w:pPr>
            <w:r>
              <w:rPr>
                <w:rFonts w:hint="eastAsia" w:ascii="宋体" w:hAnsi="宋体"/>
                <w:b/>
                <w:bCs/>
                <w:sz w:val="24"/>
                <w:szCs w:val="24"/>
              </w:rPr>
              <w:t>预算金额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adjustRightInd w:val="0"/>
              <w:snapToGrid w:val="0"/>
              <w:spacing w:line="360" w:lineRule="auto"/>
              <w:jc w:val="center"/>
              <w:rPr>
                <w:rFonts w:ascii="宋体" w:hAnsi="宋体" w:cs="Arial Unicode MS"/>
                <w:snapToGrid w:val="0"/>
                <w:kern w:val="0"/>
                <w:sz w:val="24"/>
                <w:szCs w:val="24"/>
              </w:rPr>
            </w:pPr>
            <w:r>
              <w:rPr>
                <w:rFonts w:hint="eastAsia" w:ascii="宋体" w:hAnsi="宋体" w:cs="Arial Unicode MS"/>
                <w:snapToGrid w:val="0"/>
                <w:kern w:val="0"/>
                <w:sz w:val="24"/>
                <w:szCs w:val="24"/>
              </w:rPr>
              <w:t>1</w:t>
            </w:r>
          </w:p>
        </w:tc>
        <w:tc>
          <w:tcPr>
            <w:tcW w:w="3402" w:type="dxa"/>
            <w:noWrap w:val="0"/>
            <w:vAlign w:val="center"/>
          </w:tcPr>
          <w:p>
            <w:pPr>
              <w:jc w:val="center"/>
              <w:rPr>
                <w:rFonts w:ascii="宋体" w:hAnsi="宋体"/>
                <w:snapToGrid w:val="0"/>
                <w:sz w:val="24"/>
                <w:szCs w:val="24"/>
              </w:rPr>
            </w:pPr>
            <w:r>
              <w:rPr>
                <w:rFonts w:hint="eastAsia" w:ascii="宋体" w:hAnsi="宋体"/>
                <w:snapToGrid w:val="0"/>
                <w:sz w:val="24"/>
                <w:szCs w:val="24"/>
              </w:rPr>
              <w:t>大企业税收服务和管理平台</w:t>
            </w:r>
          </w:p>
        </w:tc>
        <w:tc>
          <w:tcPr>
            <w:tcW w:w="717" w:type="dxa"/>
            <w:noWrap w:val="0"/>
            <w:vAlign w:val="center"/>
          </w:tcPr>
          <w:p>
            <w:pPr>
              <w:jc w:val="center"/>
              <w:rPr>
                <w:rFonts w:ascii="宋体" w:hAnsi="宋体"/>
                <w:snapToGrid w:val="0"/>
                <w:sz w:val="24"/>
                <w:szCs w:val="24"/>
              </w:rPr>
            </w:pPr>
            <w:r>
              <w:rPr>
                <w:rFonts w:hint="eastAsia" w:ascii="宋体" w:hAnsi="宋体"/>
                <w:snapToGrid w:val="0"/>
                <w:sz w:val="24"/>
                <w:szCs w:val="24"/>
              </w:rPr>
              <w:t>项</w:t>
            </w:r>
          </w:p>
        </w:tc>
        <w:tc>
          <w:tcPr>
            <w:tcW w:w="835" w:type="dxa"/>
            <w:noWrap w:val="0"/>
            <w:vAlign w:val="center"/>
          </w:tcPr>
          <w:p>
            <w:pPr>
              <w:jc w:val="center"/>
              <w:rPr>
                <w:rFonts w:ascii="宋体" w:hAnsi="宋体"/>
                <w:snapToGrid w:val="0"/>
                <w:sz w:val="24"/>
                <w:szCs w:val="24"/>
              </w:rPr>
            </w:pPr>
            <w:r>
              <w:rPr>
                <w:rFonts w:hint="eastAsia" w:ascii="宋体" w:hAnsi="宋体"/>
                <w:snapToGrid w:val="0"/>
                <w:sz w:val="24"/>
                <w:szCs w:val="24"/>
              </w:rPr>
              <w:t>1</w:t>
            </w:r>
          </w:p>
        </w:tc>
        <w:tc>
          <w:tcPr>
            <w:tcW w:w="2559" w:type="dxa"/>
            <w:noWrap w:val="0"/>
            <w:vAlign w:val="center"/>
          </w:tcPr>
          <w:p>
            <w:pPr>
              <w:jc w:val="center"/>
              <w:rPr>
                <w:rFonts w:ascii="宋体" w:hAnsi="宋体"/>
                <w:snapToGrid w:val="0"/>
                <w:sz w:val="24"/>
                <w:szCs w:val="24"/>
              </w:rPr>
            </w:pPr>
            <w:r>
              <w:rPr>
                <w:rFonts w:hint="eastAsia" w:ascii="宋体" w:hAnsi="宋体"/>
                <w:snapToGrid w:val="0"/>
                <w:sz w:val="24"/>
                <w:szCs w:val="24"/>
              </w:rPr>
              <w:t>人民币</w:t>
            </w:r>
            <w:r>
              <w:rPr>
                <w:rFonts w:hint="eastAsia" w:ascii="宋体" w:hAnsi="宋体"/>
                <w:snapToGrid w:val="0"/>
                <w:sz w:val="24"/>
                <w:szCs w:val="24"/>
                <w:u w:val="single"/>
              </w:rPr>
              <w:t xml:space="preserve"> </w:t>
            </w:r>
            <w:r>
              <w:rPr>
                <w:rFonts w:ascii="宋体" w:hAnsi="宋体"/>
                <w:snapToGrid w:val="0"/>
                <w:sz w:val="24"/>
                <w:szCs w:val="24"/>
                <w:u w:val="single"/>
              </w:rPr>
              <w:t>267.2</w:t>
            </w:r>
            <w:r>
              <w:rPr>
                <w:rFonts w:hint="eastAsia" w:ascii="宋体" w:hAnsi="宋体"/>
                <w:snapToGrid w:val="0"/>
                <w:sz w:val="24"/>
                <w:szCs w:val="24"/>
                <w:u w:val="single"/>
              </w:rPr>
              <w:t xml:space="preserve"> </w:t>
            </w:r>
            <w:r>
              <w:rPr>
                <w:rFonts w:hint="eastAsia" w:ascii="宋体" w:hAnsi="宋体"/>
                <w:snapToGrid w:val="0"/>
                <w:sz w:val="24"/>
                <w:szCs w:val="24"/>
              </w:rPr>
              <w:t>万元</w:t>
            </w:r>
          </w:p>
        </w:tc>
      </w:tr>
    </w:tbl>
    <w:p>
      <w:pPr>
        <w:pStyle w:val="4"/>
        <w:spacing w:line="360" w:lineRule="auto"/>
        <w:rPr>
          <w:rFonts w:ascii="新宋体" w:hAnsi="新宋体" w:eastAsia="新宋体"/>
          <w:sz w:val="24"/>
          <w:szCs w:val="24"/>
        </w:rPr>
      </w:pPr>
      <w:r>
        <w:rPr>
          <w:rFonts w:hint="eastAsia" w:ascii="新宋体" w:hAnsi="新宋体" w:eastAsia="新宋体"/>
          <w:sz w:val="24"/>
          <w:szCs w:val="24"/>
        </w:rPr>
        <w:t>二、项目简介</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1.项目背景</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为全面贯彻落实国家税务总局大企业税收管理司《2019年度大企业税收服务和管理重点工作任务》、市局2018年第四次局长办公会议精神和大企业税收服务和管理局2019年度重点工作，进一步提升大企业税收管理数据治理水平，旨在总体提升大企业信局息化建设系统，支撑和推动大企业税收服务和管理工作。努力打造 “以数据促管理，以技术强服务”的大企业税收管理新模式。</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2.项目目标依托市局大数据平台，构建一个全面、丰富、便捷的大数据仓库，致力打造 “一个核心、两个支撑、三个服务 ”的大企业税收服务与管理平台，实现“数据中心、决策中心、指挥中心、分析中心、服务中心”五个功能，以智慧税务推动大企业税收服务和管理现代化。另外通过设置经济报告业务期间，系统查询相关业务数据，生成数据报表，由用户完善后可导出经济税收报告。若报告已经生成，用户可以直接查看无需重复生成，保证报告准确性、一致性。</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实现方便用户快速、便利完成报告工作的目标，同时更好的进行决策应对，提升税收服务与管理质效。</w:t>
      </w:r>
    </w:p>
    <w:p>
      <w:pPr>
        <w:pStyle w:val="3"/>
        <w:spacing w:line="360" w:lineRule="auto"/>
        <w:jc w:val="center"/>
        <w:rPr>
          <w:rFonts w:ascii="新宋体" w:hAnsi="新宋体" w:eastAsia="新宋体"/>
          <w:sz w:val="24"/>
          <w:szCs w:val="24"/>
        </w:rPr>
      </w:pPr>
      <w:bookmarkStart w:id="3" w:name="_Toc30331"/>
      <w:r>
        <w:rPr>
          <w:rFonts w:hint="eastAsia" w:ascii="新宋体" w:hAnsi="新宋体" w:eastAsia="新宋体"/>
          <w:sz w:val="24"/>
          <w:szCs w:val="24"/>
        </w:rPr>
        <w:t>第二节 商务需求</w:t>
      </w:r>
      <w:bookmarkEnd w:id="3"/>
    </w:p>
    <w:p>
      <w:pPr>
        <w:pStyle w:val="4"/>
        <w:spacing w:line="360" w:lineRule="auto"/>
        <w:rPr>
          <w:rFonts w:hint="eastAsia" w:ascii="新宋体" w:hAnsi="新宋体" w:eastAsia="新宋体"/>
          <w:sz w:val="24"/>
          <w:szCs w:val="24"/>
        </w:rPr>
      </w:pPr>
      <w:r>
        <w:rPr>
          <w:rFonts w:hint="eastAsia" w:ascii="新宋体" w:hAnsi="新宋体" w:eastAsia="新宋体"/>
          <w:sz w:val="24"/>
          <w:szCs w:val="24"/>
        </w:rPr>
        <w:t>一</w:t>
      </w:r>
      <w:r>
        <w:rPr>
          <w:rFonts w:ascii="新宋体" w:hAnsi="新宋体" w:eastAsia="新宋体"/>
          <w:sz w:val="24"/>
          <w:szCs w:val="24"/>
        </w:rPr>
        <w:t>、服务期/项目工期</w:t>
      </w:r>
    </w:p>
    <w:p>
      <w:pPr>
        <w:spacing w:line="360" w:lineRule="auto"/>
        <w:rPr>
          <w:rFonts w:hint="eastAsia" w:ascii="新宋体" w:hAnsi="新宋体" w:eastAsia="新宋体"/>
          <w:sz w:val="24"/>
          <w:szCs w:val="24"/>
        </w:rPr>
      </w:pPr>
      <w:r>
        <w:rPr>
          <w:rFonts w:hint="eastAsia" w:ascii="新宋体" w:hAnsi="新宋体" w:eastAsia="新宋体"/>
          <w:sz w:val="24"/>
          <w:szCs w:val="24"/>
        </w:rPr>
        <w:t>1、签订合同后二个月内，中标方将完成平台所有的技术开发，交付采购人使用。</w:t>
      </w:r>
    </w:p>
    <w:p>
      <w:pPr>
        <w:spacing w:line="360" w:lineRule="auto"/>
        <w:rPr>
          <w:rFonts w:ascii="新宋体" w:hAnsi="新宋体" w:eastAsia="新宋体"/>
          <w:sz w:val="24"/>
          <w:szCs w:val="24"/>
        </w:rPr>
      </w:pPr>
      <w:r>
        <w:rPr>
          <w:rFonts w:hint="eastAsia" w:ascii="新宋体" w:hAnsi="新宋体" w:eastAsia="新宋体"/>
          <w:sz w:val="24"/>
          <w:szCs w:val="24"/>
        </w:rPr>
        <w:t>2、维护服务：系统上线终验后提供一年的免费维护服务。</w:t>
      </w:r>
    </w:p>
    <w:p>
      <w:pPr>
        <w:pStyle w:val="4"/>
        <w:spacing w:line="360" w:lineRule="auto"/>
        <w:rPr>
          <w:rFonts w:hint="eastAsia" w:ascii="新宋体" w:hAnsi="新宋体" w:eastAsia="新宋体"/>
          <w:sz w:val="24"/>
          <w:szCs w:val="24"/>
        </w:rPr>
      </w:pPr>
      <w:r>
        <w:rPr>
          <w:rFonts w:hint="eastAsia" w:ascii="新宋体" w:hAnsi="新宋体" w:eastAsia="新宋体"/>
          <w:sz w:val="24"/>
          <w:szCs w:val="24"/>
        </w:rPr>
        <w:t>二</w:t>
      </w:r>
      <w:r>
        <w:rPr>
          <w:rFonts w:ascii="新宋体" w:hAnsi="新宋体" w:eastAsia="新宋体"/>
          <w:sz w:val="24"/>
          <w:szCs w:val="24"/>
        </w:rPr>
        <w:t>、</w:t>
      </w:r>
      <w:r>
        <w:rPr>
          <w:rFonts w:hint="eastAsia" w:ascii="新宋体" w:hAnsi="新宋体" w:eastAsia="新宋体"/>
          <w:sz w:val="24"/>
          <w:szCs w:val="24"/>
        </w:rPr>
        <w:t>验收</w:t>
      </w:r>
      <w:r>
        <w:rPr>
          <w:rFonts w:ascii="新宋体" w:hAnsi="新宋体" w:eastAsia="新宋体"/>
          <w:sz w:val="24"/>
          <w:szCs w:val="24"/>
        </w:rPr>
        <w:t>标准及合同付款规定</w:t>
      </w:r>
    </w:p>
    <w:p>
      <w:pPr>
        <w:numPr>
          <w:ilvl w:val="0"/>
          <w:numId w:val="1"/>
        </w:numPr>
        <w:rPr>
          <w:rFonts w:hint="eastAsia" w:ascii="宋体" w:hAnsi="宋体" w:cs="宋体"/>
          <w:b/>
          <w:sz w:val="24"/>
          <w:szCs w:val="24"/>
        </w:rPr>
      </w:pPr>
      <w:r>
        <w:rPr>
          <w:rFonts w:hint="eastAsia" w:ascii="宋体" w:hAnsi="宋体" w:cs="宋体"/>
          <w:b/>
          <w:sz w:val="24"/>
          <w:szCs w:val="24"/>
        </w:rPr>
        <w:t>验收标准</w:t>
      </w:r>
    </w:p>
    <w:p>
      <w:pPr>
        <w:tabs>
          <w:tab w:val="left" w:pos="540"/>
        </w:tabs>
        <w:spacing w:line="360" w:lineRule="auto"/>
        <w:ind w:firstLine="480" w:firstLineChars="200"/>
        <w:rPr>
          <w:rFonts w:hint="eastAsia" w:ascii="宋体" w:hAnsi="宋体"/>
          <w:sz w:val="24"/>
          <w:szCs w:val="24"/>
        </w:rPr>
      </w:pPr>
      <w:r>
        <w:rPr>
          <w:rFonts w:hint="eastAsia" w:ascii="宋体" w:hAnsi="宋体"/>
          <w:sz w:val="24"/>
          <w:szCs w:val="24"/>
        </w:rPr>
        <w:t>(1)系统初验: 在本项目完成基本功能开发和测试，进入试运行阶段前，由甲乙双方依据验收标准对应用软件进行系统初次验收。</w:t>
      </w:r>
    </w:p>
    <w:p>
      <w:pPr>
        <w:tabs>
          <w:tab w:val="left" w:pos="540"/>
        </w:tabs>
        <w:spacing w:line="360" w:lineRule="auto"/>
        <w:ind w:firstLine="480" w:firstLineChars="200"/>
        <w:rPr>
          <w:rFonts w:hint="eastAsia" w:ascii="宋体" w:hAnsi="宋体"/>
          <w:sz w:val="24"/>
          <w:szCs w:val="24"/>
        </w:rPr>
      </w:pPr>
      <w:r>
        <w:rPr>
          <w:rFonts w:hint="eastAsia" w:ascii="宋体" w:hAnsi="宋体"/>
          <w:sz w:val="24"/>
          <w:szCs w:val="24"/>
        </w:rPr>
        <w:t>(2)系统试运行：应用软件初验合格后进入为期三个月的系统试运行阶段。试运行经甲方认可合格后，方可进入系统终验。</w:t>
      </w:r>
    </w:p>
    <w:p>
      <w:pPr>
        <w:tabs>
          <w:tab w:val="left" w:pos="540"/>
        </w:tabs>
        <w:spacing w:line="360" w:lineRule="auto"/>
        <w:ind w:firstLine="480" w:firstLineChars="200"/>
        <w:rPr>
          <w:rFonts w:hint="eastAsia" w:ascii="宋体" w:hAnsi="宋体"/>
          <w:sz w:val="24"/>
          <w:szCs w:val="24"/>
        </w:rPr>
      </w:pPr>
      <w:r>
        <w:rPr>
          <w:rFonts w:hint="eastAsia" w:ascii="宋体" w:hAnsi="宋体"/>
          <w:sz w:val="24"/>
          <w:szCs w:val="24"/>
        </w:rPr>
        <w:t>(3)系统终验：在系统上线后三个月内，由甲乙双方对应用软件进行联合验收，验收通过后，甲方授权代表签署最终验收合格书，并向乙方提供原件。若应用系统未通过验收，则乙方负责对应用软件存在的缺陷进行调整，直至达到合同约定的要求并向甲方提请复验。</w:t>
      </w:r>
    </w:p>
    <w:p>
      <w:pPr>
        <w:tabs>
          <w:tab w:val="left" w:pos="540"/>
        </w:tabs>
        <w:spacing w:line="360" w:lineRule="auto"/>
        <w:ind w:firstLine="480" w:firstLineChars="200"/>
        <w:rPr>
          <w:rFonts w:hint="eastAsia" w:ascii="宋体" w:hAnsi="宋体"/>
          <w:sz w:val="24"/>
          <w:szCs w:val="24"/>
        </w:rPr>
      </w:pPr>
      <w:r>
        <w:rPr>
          <w:rFonts w:hint="eastAsia" w:ascii="宋体" w:hAnsi="宋体"/>
          <w:sz w:val="24"/>
          <w:szCs w:val="24"/>
        </w:rPr>
        <w:t>(4)系统维护服务</w:t>
      </w:r>
    </w:p>
    <w:p>
      <w:pPr>
        <w:tabs>
          <w:tab w:val="left" w:pos="540"/>
        </w:tabs>
        <w:spacing w:line="360" w:lineRule="auto"/>
        <w:ind w:firstLine="480" w:firstLineChars="200"/>
        <w:rPr>
          <w:rFonts w:hint="eastAsia" w:ascii="宋体" w:hAnsi="宋体"/>
          <w:sz w:val="24"/>
          <w:szCs w:val="24"/>
        </w:rPr>
      </w:pPr>
      <w:r>
        <w:rPr>
          <w:rFonts w:hint="eastAsia" w:ascii="宋体" w:hAnsi="宋体"/>
          <w:sz w:val="24"/>
          <w:szCs w:val="24"/>
        </w:rPr>
        <w:t>应用软件终验合格之日起进入应用软件系统维护期。</w:t>
      </w:r>
    </w:p>
    <w:p>
      <w:pPr>
        <w:tabs>
          <w:tab w:val="left" w:pos="540"/>
        </w:tabs>
        <w:spacing w:line="360" w:lineRule="auto"/>
        <w:ind w:firstLine="480" w:firstLineChars="200"/>
        <w:rPr>
          <w:rFonts w:hint="eastAsia" w:ascii="宋体" w:hAnsi="宋体"/>
          <w:sz w:val="24"/>
          <w:szCs w:val="24"/>
        </w:rPr>
      </w:pPr>
      <w:r>
        <w:rPr>
          <w:rFonts w:hint="eastAsia" w:ascii="宋体" w:hAnsi="宋体"/>
          <w:sz w:val="24"/>
          <w:szCs w:val="24"/>
        </w:rPr>
        <w:t>(5)系统维护服务验收</w:t>
      </w:r>
    </w:p>
    <w:p>
      <w:pPr>
        <w:tabs>
          <w:tab w:val="left" w:pos="540"/>
        </w:tabs>
        <w:spacing w:line="360" w:lineRule="auto"/>
        <w:ind w:firstLine="480" w:firstLineChars="200"/>
        <w:rPr>
          <w:rFonts w:hint="eastAsia" w:ascii="宋体" w:hAnsi="宋体"/>
          <w:sz w:val="24"/>
          <w:szCs w:val="24"/>
        </w:rPr>
      </w:pPr>
      <w:r>
        <w:rPr>
          <w:rFonts w:hint="eastAsia" w:ascii="宋体" w:hAnsi="宋体"/>
          <w:sz w:val="24"/>
          <w:szCs w:val="24"/>
        </w:rPr>
        <w:t>系统维护期满后对乙方系统维护服务进行一次验收。乙方向甲方提出书面验收申请，甲方在接到验收申请后进行验收，验收通过后甲方出具验收证明。</w:t>
      </w:r>
    </w:p>
    <w:p>
      <w:pPr>
        <w:ind w:left="1247"/>
        <w:rPr>
          <w:rFonts w:hint="eastAsia" w:ascii="宋体" w:hAnsi="宋体" w:cs="宋体"/>
          <w:b/>
          <w:sz w:val="24"/>
          <w:szCs w:val="24"/>
        </w:rPr>
      </w:pPr>
    </w:p>
    <w:p>
      <w:pPr>
        <w:numPr>
          <w:ilvl w:val="0"/>
          <w:numId w:val="1"/>
        </w:numPr>
        <w:rPr>
          <w:rFonts w:hint="eastAsia" w:ascii="宋体" w:hAnsi="宋体" w:cs="宋体"/>
          <w:b/>
          <w:sz w:val="24"/>
          <w:szCs w:val="24"/>
        </w:rPr>
      </w:pPr>
      <w:r>
        <w:rPr>
          <w:rFonts w:hint="eastAsia" w:ascii="宋体" w:hAnsi="宋体" w:cs="宋体"/>
          <w:b/>
          <w:sz w:val="24"/>
          <w:szCs w:val="24"/>
        </w:rPr>
        <w:t>付款方式</w:t>
      </w:r>
    </w:p>
    <w:p>
      <w:pPr>
        <w:ind w:left="482"/>
        <w:rPr>
          <w:rFonts w:hint="eastAsia" w:ascii="宋体" w:hAnsi="宋体" w:cs="宋体"/>
          <w:b/>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1.合同签订后，乙方向甲方提供发票及银行账号并经甲方审核确认后20个工作日内，甲方向乙方支付产品费用及服务费用的70%，即 [RMB________元]。</w:t>
      </w:r>
    </w:p>
    <w:p>
      <w:pPr>
        <w:spacing w:line="360" w:lineRule="auto"/>
        <w:ind w:firstLine="480" w:firstLineChars="200"/>
        <w:rPr>
          <w:rFonts w:hint="eastAsia" w:ascii="宋体" w:hAnsi="宋体"/>
          <w:sz w:val="24"/>
          <w:szCs w:val="24"/>
        </w:rPr>
      </w:pPr>
      <w:r>
        <w:rPr>
          <w:rFonts w:hint="eastAsia" w:ascii="宋体" w:hAnsi="宋体"/>
          <w:sz w:val="24"/>
          <w:szCs w:val="24"/>
        </w:rPr>
        <w:t>2.系统验收合格后三个月内，乙方向甲方提供发票及银行账号并经甲方审核确认后20个工作日内，甲方向乙方支付产品费用及服务费用的30%，即： [RMB________元]。</w:t>
      </w:r>
    </w:p>
    <w:p>
      <w:pPr>
        <w:spacing w:line="360" w:lineRule="auto"/>
        <w:ind w:firstLine="480" w:firstLineChars="200"/>
        <w:rPr>
          <w:rFonts w:ascii="新宋体" w:hAnsi="新宋体" w:eastAsia="新宋体"/>
          <w:sz w:val="24"/>
          <w:szCs w:val="24"/>
        </w:rPr>
      </w:pPr>
      <w:r>
        <w:rPr>
          <w:rFonts w:hint="eastAsia" w:ascii="宋体" w:hAnsi="宋体"/>
          <w:sz w:val="24"/>
          <w:szCs w:val="24"/>
        </w:rPr>
        <w:t>3.当实际工作量人天数和项目约定人天数的误差在10%以内的，仍以项目约定的人天数为准；误差超出10%的，应由甲乙双方协商确定实际发生的工作量，进行合同变更并签署相关补充协议。</w:t>
      </w:r>
    </w:p>
    <w:p>
      <w:pPr>
        <w:pStyle w:val="3"/>
        <w:spacing w:line="360" w:lineRule="auto"/>
        <w:jc w:val="center"/>
        <w:rPr>
          <w:rFonts w:ascii="新宋体" w:hAnsi="新宋体" w:eastAsia="新宋体"/>
          <w:sz w:val="24"/>
          <w:szCs w:val="24"/>
        </w:rPr>
      </w:pPr>
      <w:bookmarkStart w:id="4" w:name="_Toc31218"/>
      <w:r>
        <w:rPr>
          <w:rFonts w:hint="eastAsia" w:ascii="新宋体" w:hAnsi="新宋体" w:eastAsia="新宋体"/>
          <w:sz w:val="24"/>
          <w:szCs w:val="24"/>
        </w:rPr>
        <w:t>第三节 技术需求</w:t>
      </w:r>
      <w:bookmarkEnd w:id="4"/>
    </w:p>
    <w:p>
      <w:pPr>
        <w:pStyle w:val="4"/>
        <w:spacing w:line="360" w:lineRule="auto"/>
        <w:rPr>
          <w:rFonts w:ascii="新宋体" w:hAnsi="新宋体" w:eastAsia="新宋体"/>
          <w:sz w:val="24"/>
          <w:szCs w:val="24"/>
        </w:rPr>
      </w:pPr>
      <w:r>
        <w:rPr>
          <w:rFonts w:hint="eastAsia" w:ascii="新宋体" w:hAnsi="新宋体" w:eastAsia="新宋体"/>
          <w:sz w:val="24"/>
          <w:szCs w:val="24"/>
        </w:rPr>
        <w:t>一、功能要求或服务标准</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功能要求</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1.1大企业税收数据管理省级示范基地建设</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基于总局《大企业税收数据管理省级示范基地建设标准》，并依托深圳市的大数据平台，建设满足大企业税收管理和服务的数据仓库，实现业务数据结构化、标准化、规范化、统一化的存储、管理、监控、维护。</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1.2历史数据的迁移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通过系统初始化操作，实现历史数据迁移到大数据平台的存储及管理，完成存量非结构化数据的解析、比对、清洗、加工及存储。</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1.3数据采集</w:t>
      </w: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通过数据采集功能，满足大企业直报数据、账套数据、</w:t>
      </w:r>
      <w:r>
        <w:rPr>
          <w:rFonts w:hint="eastAsia" w:ascii="宋体" w:hAnsi="宋体" w:cs="宋体"/>
          <w:b/>
          <w:bCs/>
          <w:sz w:val="24"/>
          <w:szCs w:val="24"/>
        </w:rPr>
        <w:t>用户数据按类别分类采集、存储、分析、查看、维护，并实现数据智能审核审核。</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1.4数据管理</w:t>
      </w: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实现服务大企业管理和服务的大企业信息、外部数据的收集与核心征管数据对接的应用管理。包括集团企业相关信息的采集收集、与</w:t>
      </w:r>
      <w:r>
        <w:rPr>
          <w:rFonts w:hint="eastAsia" w:ascii="宋体" w:hAnsi="宋体" w:cs="宋体"/>
          <w:b/>
          <w:bCs/>
          <w:sz w:val="24"/>
          <w:szCs w:val="24"/>
        </w:rPr>
        <w:t>第三方交换数据采集等。</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1.5数据应用▲</w:t>
      </w:r>
    </w:p>
    <w:p>
      <w:pPr>
        <w:numPr>
          <w:ilvl w:val="0"/>
          <w:numId w:val="2"/>
        </w:numPr>
        <w:spacing w:line="360" w:lineRule="auto"/>
        <w:ind w:firstLine="480" w:firstLineChars="200"/>
        <w:rPr>
          <w:rFonts w:hint="eastAsia" w:ascii="宋体" w:hAnsi="宋体" w:cs="宋体"/>
          <w:sz w:val="24"/>
          <w:szCs w:val="24"/>
        </w:rPr>
      </w:pPr>
      <w:bookmarkStart w:id="5" w:name="_Toc24359074"/>
      <w:r>
        <w:rPr>
          <w:rFonts w:hint="eastAsia" w:ascii="宋体" w:hAnsi="宋体" w:cs="宋体"/>
          <w:sz w:val="24"/>
          <w:szCs w:val="24"/>
        </w:rPr>
        <w:t>千户集团决策分析平台</w:t>
      </w:r>
      <w:bookmarkEnd w:id="5"/>
    </w:p>
    <w:p>
      <w:pPr>
        <w:spacing w:line="360" w:lineRule="auto"/>
        <w:ind w:firstLine="480" w:firstLineChars="200"/>
        <w:rPr>
          <w:rFonts w:hint="eastAsia" w:ascii="宋体" w:hAnsi="宋体" w:cs="宋体"/>
          <w:sz w:val="24"/>
          <w:szCs w:val="24"/>
        </w:rPr>
      </w:pPr>
      <w:r>
        <w:rPr>
          <w:rFonts w:hint="eastAsia" w:ascii="宋体" w:hAnsi="宋体" w:cs="宋体"/>
          <w:sz w:val="24"/>
          <w:szCs w:val="24"/>
        </w:rPr>
        <w:t>模块功能包括：企业税源分析，税收分析，经济分析。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通过宏观角度从税源角度、经济角度、优惠执行成果、发票管理多角度多方位全面展示大企业局税收工作成果，全面展示千户集团企业全貌及管理成效，以准确的、标准的、科学的数据支撑，借助可视化的数据展示手段、实现对大企业的监控、预测、分析、决策。</w:t>
      </w:r>
    </w:p>
    <w:p>
      <w:pPr>
        <w:numPr>
          <w:ilvl w:val="0"/>
          <w:numId w:val="2"/>
        </w:numPr>
        <w:spacing w:line="360" w:lineRule="auto"/>
        <w:ind w:firstLine="480" w:firstLineChars="200"/>
        <w:rPr>
          <w:rFonts w:hint="eastAsia" w:ascii="宋体" w:hAnsi="宋体" w:cs="宋体"/>
          <w:sz w:val="24"/>
          <w:szCs w:val="24"/>
        </w:rPr>
      </w:pPr>
      <w:bookmarkStart w:id="6" w:name="_Toc24359071"/>
      <w:r>
        <w:rPr>
          <w:rFonts w:hint="eastAsia" w:ascii="宋体" w:hAnsi="宋体" w:cs="宋体"/>
          <w:sz w:val="24"/>
          <w:szCs w:val="24"/>
        </w:rPr>
        <w:t>千户集团360度多维展示</w:t>
      </w:r>
      <w:bookmarkEnd w:id="6"/>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通过统计分析，实现集团维度多方数据源的分析展示，包括集团税收分析，财务报表分析，潜力分析等；实现深圳市千户企业综合数据查询分析的功能。</w:t>
      </w:r>
    </w:p>
    <w:p>
      <w:pPr>
        <w:numPr>
          <w:ilvl w:val="0"/>
          <w:numId w:val="2"/>
        </w:numPr>
        <w:spacing w:line="360" w:lineRule="auto"/>
        <w:ind w:firstLine="480" w:firstLineChars="200"/>
        <w:rPr>
          <w:rFonts w:hint="eastAsia" w:ascii="宋体" w:hAnsi="宋体" w:cs="宋体"/>
          <w:sz w:val="24"/>
          <w:szCs w:val="24"/>
        </w:rPr>
      </w:pPr>
      <w:bookmarkStart w:id="7" w:name="_Toc24359079"/>
      <w:r>
        <w:rPr>
          <w:rFonts w:hint="eastAsia" w:ascii="宋体" w:hAnsi="宋体" w:cs="宋体"/>
          <w:sz w:val="24"/>
          <w:szCs w:val="24"/>
        </w:rPr>
        <w:t>对接第三方平台系统</w:t>
      </w:r>
      <w:bookmarkEnd w:id="7"/>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通过技术手段，实现第三方平台系统的对接，解决一个系统登录，完成系统互通访问。</w:t>
      </w:r>
    </w:p>
    <w:p>
      <w:pPr>
        <w:numPr>
          <w:ilvl w:val="0"/>
          <w:numId w:val="2"/>
        </w:numPr>
        <w:spacing w:line="360" w:lineRule="auto"/>
        <w:ind w:firstLine="480" w:firstLineChars="200"/>
        <w:rPr>
          <w:rFonts w:hint="eastAsia" w:ascii="宋体" w:hAnsi="宋体" w:cs="宋体"/>
          <w:sz w:val="24"/>
          <w:szCs w:val="24"/>
        </w:rPr>
      </w:pPr>
      <w:bookmarkStart w:id="8" w:name="_Toc18328333"/>
      <w:bookmarkStart w:id="9" w:name="_Toc24359081"/>
      <w:r>
        <w:rPr>
          <w:rFonts w:hint="eastAsia" w:ascii="宋体" w:hAnsi="宋体" w:cs="宋体"/>
          <w:sz w:val="24"/>
          <w:szCs w:val="24"/>
        </w:rPr>
        <w:t>集团企业图谱</w:t>
      </w:r>
      <w:bookmarkEnd w:id="8"/>
      <w:bookmarkEnd w:id="9"/>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通过图谱技术，实现集团企业的关系数据的可视化分析展示。</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财务报表查询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通过财务报表查询，实现企业的财务报表快速还原展示。</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财务报表分析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通过财务报表数据各个指标的分析，实现企业财务状况发生异常、风险的快速识别、监控、决策。</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增值税发票查询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通过增值税发票查询统计，实现增值税发票不同维度的统计展示和不同维度的明细下钻展示。</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增值税发票智能分析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模块功能包括：发票基本信息，发票开具情况，发票接收情况。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通过增值税发票智能综合各个指标的分析，实现大企业经营活动的异常分析、风险的快速识别、开票的监控。</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千户集团及成员企业数据维护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通过数据维护实现千户集团及成员企业相关的数据新增、修改、删除、审核等功能，其中维护的数据包含：直报数据、集团企业数据、成员企业数据、行业指标数据、第三方数据（舆情、处罚等）。支持从集团企业模块下钻跳转到千户集团360度多维展示。</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千户集团及成员企业税收分析及报告生成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实现不同年度企业经营情况分析、税收情况分析，并结合企业的基本状况信息，生成税收分析报告。</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经济快报分析及报告生成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通过相关业务数据的分析，生成数据报表，用户可二次维护可导出报告。报告一次生成后，并保存为系统资源，确保报告准确性、一致性，支持用户查询当年经济快报及历史记录。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实现方便用户快速、便利完成报告工作的目标，同时更好的进行决策应对，提升税收服务与管理质效。</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千户集团及成员企业自主分析</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用户可通过该模块对企业数据开展税务业务数据的分析，并实现分析数据的excel导出，同时支持用户通过编写SQL方案的形式完成自定义数据查询分析。</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一局纵览分析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实现查询各区（分）局的大企业税收管理的总体情况的应用。以图表形式展示集团企业及成员企业多维指标的分析展示。</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1.6安全要求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为加强信息安全管理，操作用户进行系统内数据查询、数据上传功能操作须记录操作日志，操作日志应可视化查询，查询内容包括：操作时间、操作内容、操作人。并可对查询内容进行统计查询，统计同一个操作人，在一个时间区间内所有的操作内容和某项功能在一个时间区间内的操作用户信息。</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1.7系统管理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能够支持系统账号、角色、机构、菜单、权限的功能，实现系统管理、运维的体系架构。对区分局、市局用户实现不相容岗位分离。</w:t>
      </w:r>
    </w:p>
    <w:p>
      <w:pPr>
        <w:ind w:firstLine="480" w:firstLineChars="200"/>
        <w:rPr>
          <w:rFonts w:hint="eastAsia" w:ascii="宋体" w:hAnsi="宋体" w:cs="宋体"/>
          <w:sz w:val="24"/>
          <w:szCs w:val="24"/>
        </w:rPr>
      </w:pPr>
    </w:p>
    <w:p>
      <w:pPr>
        <w:pStyle w:val="4"/>
        <w:rPr>
          <w:rFonts w:hint="eastAsia" w:ascii="宋体" w:hAnsi="宋体" w:cs="宋体"/>
          <w:sz w:val="24"/>
          <w:szCs w:val="24"/>
        </w:rPr>
      </w:pPr>
      <w:r>
        <w:rPr>
          <w:rFonts w:hint="eastAsia" w:ascii="宋体" w:hAnsi="宋体"/>
          <w:sz w:val="24"/>
          <w:szCs w:val="24"/>
        </w:rPr>
        <w:t>二、实施要求</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（一）系统安全要求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在合同执行过程中，投标人必须遵守采购人计算机管理安全保密及系统运维的各项规定，因投标人责任造成事故的，应根据深圳市税务局有关运维责任事故认定标准，追究投标人的经济责任。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另外，在合同执行过程中，投标人必须遵守国家税务总局《国家税务总局办公厅关于加强应用系统安全保障工作的通知》（税总办发〔2017〕21号）随文发布的《税务应用系统网络安全审核指南（试行）》（以下简称《审核指南》），遵从《审核指南》的各项进度要求开展工作。</w:t>
      </w:r>
    </w:p>
    <w:p>
      <w:pPr>
        <w:ind w:firstLine="482" w:firstLineChars="200"/>
        <w:rPr>
          <w:rFonts w:hint="eastAsia" w:ascii="宋体" w:hAnsi="宋体" w:cs="宋体"/>
          <w:b/>
          <w:sz w:val="24"/>
          <w:szCs w:val="24"/>
        </w:rPr>
      </w:pPr>
      <w:r>
        <w:rPr>
          <w:rFonts w:hint="eastAsia" w:ascii="宋体" w:hAnsi="宋体" w:cs="宋体"/>
          <w:b/>
          <w:sz w:val="24"/>
          <w:szCs w:val="24"/>
        </w:rPr>
        <w:t>（二）实施阶段主要交付物</w:t>
      </w:r>
    </w:p>
    <w:tbl>
      <w:tblPr>
        <w:tblStyle w:val="10"/>
        <w:tblW w:w="0" w:type="auto"/>
        <w:jc w:val="center"/>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2879"/>
        <w:gridCol w:w="2408"/>
        <w:gridCol w:w="2534"/>
      </w:tblGrid>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395" w:hRule="atLeast"/>
          <w:tblHeader/>
          <w:jc w:val="center"/>
        </w:trPr>
        <w:tc>
          <w:tcPr>
            <w:tcW w:w="2879" w:type="dxa"/>
            <w:tcBorders>
              <w:top w:val="double" w:color="auto" w:sz="4"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2" w:firstLineChars="200"/>
              <w:rPr>
                <w:rFonts w:hint="eastAsia" w:ascii="宋体" w:hAnsi="宋体" w:cs="宋体"/>
                <w:b/>
                <w:sz w:val="24"/>
                <w:szCs w:val="24"/>
              </w:rPr>
            </w:pPr>
            <w:r>
              <w:rPr>
                <w:rFonts w:hint="eastAsia" w:ascii="宋体" w:hAnsi="宋体" w:cs="宋体"/>
                <w:b/>
                <w:sz w:val="24"/>
                <w:szCs w:val="24"/>
              </w:rPr>
              <w:t>文档名称</w:t>
            </w:r>
          </w:p>
        </w:tc>
        <w:tc>
          <w:tcPr>
            <w:tcW w:w="2408" w:type="dxa"/>
            <w:tcBorders>
              <w:top w:val="double" w:color="auto" w:sz="4"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2" w:firstLineChars="200"/>
              <w:rPr>
                <w:rFonts w:hint="eastAsia" w:ascii="宋体" w:hAnsi="宋体" w:cs="宋体"/>
                <w:b/>
                <w:sz w:val="24"/>
                <w:szCs w:val="24"/>
              </w:rPr>
            </w:pPr>
            <w:r>
              <w:rPr>
                <w:rFonts w:hint="eastAsia" w:ascii="宋体" w:hAnsi="宋体" w:cs="宋体"/>
                <w:b/>
                <w:sz w:val="24"/>
                <w:szCs w:val="24"/>
              </w:rPr>
              <w:t>介质</w:t>
            </w:r>
          </w:p>
        </w:tc>
        <w:tc>
          <w:tcPr>
            <w:tcW w:w="2534" w:type="dxa"/>
            <w:tcBorders>
              <w:top w:val="double" w:color="auto" w:sz="4"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2" w:firstLineChars="200"/>
              <w:rPr>
                <w:rFonts w:hint="eastAsia" w:ascii="宋体" w:hAnsi="宋体" w:cs="宋体"/>
                <w:b/>
                <w:sz w:val="24"/>
                <w:szCs w:val="24"/>
              </w:rPr>
            </w:pPr>
            <w:r>
              <w:rPr>
                <w:rFonts w:hint="eastAsia" w:ascii="宋体" w:hAnsi="宋体" w:cs="宋体"/>
                <w:b/>
                <w:sz w:val="24"/>
                <w:szCs w:val="24"/>
              </w:rPr>
              <w:t>产生阶段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项目工作说明书</w:t>
            </w:r>
          </w:p>
        </w:tc>
        <w:tc>
          <w:tcPr>
            <w:tcW w:w="240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筹备阶段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项目总体计划</w:t>
            </w:r>
          </w:p>
        </w:tc>
        <w:tc>
          <w:tcPr>
            <w:tcW w:w="240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筹备阶段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需求规格说明书</w:t>
            </w:r>
          </w:p>
        </w:tc>
        <w:tc>
          <w:tcPr>
            <w:tcW w:w="240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需求分析</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概要设计说明书</w:t>
            </w:r>
          </w:p>
        </w:tc>
        <w:tc>
          <w:tcPr>
            <w:tcW w:w="240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详细设计说明书</w:t>
            </w:r>
          </w:p>
        </w:tc>
        <w:tc>
          <w:tcPr>
            <w:tcW w:w="240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数据库设计说明书</w:t>
            </w:r>
          </w:p>
        </w:tc>
        <w:tc>
          <w:tcPr>
            <w:tcW w:w="240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系统部署方案</w:t>
            </w:r>
          </w:p>
        </w:tc>
        <w:tc>
          <w:tcPr>
            <w:tcW w:w="240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测试用例报告</w:t>
            </w:r>
          </w:p>
        </w:tc>
        <w:tc>
          <w:tcPr>
            <w:tcW w:w="240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开发阶段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用户测试报告</w:t>
            </w:r>
          </w:p>
        </w:tc>
        <w:tc>
          <w:tcPr>
            <w:tcW w:w="240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开发阶段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系统安装和维护手册</w:t>
            </w:r>
          </w:p>
        </w:tc>
        <w:tc>
          <w:tcPr>
            <w:tcW w:w="240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试点运行</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用户操作手册</w:t>
            </w:r>
          </w:p>
        </w:tc>
        <w:tc>
          <w:tcPr>
            <w:tcW w:w="240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试点运行</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2879" w:type="dxa"/>
            <w:tcBorders>
              <w:top w:val="single" w:color="000000" w:sz="2" w:space="0"/>
              <w:left w:val="double" w:color="auto" w:sz="4" w:space="0"/>
              <w:bottom w:val="double" w:color="auto" w:sz="4"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项目培训文档</w:t>
            </w:r>
          </w:p>
        </w:tc>
        <w:tc>
          <w:tcPr>
            <w:tcW w:w="2408" w:type="dxa"/>
            <w:tcBorders>
              <w:top w:val="single" w:color="000000" w:sz="2" w:space="0"/>
              <w:left w:val="single" w:color="000000" w:sz="2" w:space="0"/>
              <w:bottom w:val="double" w:color="auto" w:sz="4" w:space="0"/>
              <w:right w:val="single" w:color="000000" w:sz="2"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电子及纸质</w:t>
            </w:r>
          </w:p>
        </w:tc>
        <w:tc>
          <w:tcPr>
            <w:tcW w:w="2534" w:type="dxa"/>
            <w:tcBorders>
              <w:top w:val="single" w:color="000000" w:sz="2" w:space="0"/>
              <w:left w:val="single" w:color="000000" w:sz="2" w:space="0"/>
              <w:bottom w:val="double" w:color="auto" w:sz="4" w:space="0"/>
              <w:right w:val="double" w:color="auto" w:sz="4" w:space="0"/>
            </w:tcBorders>
            <w:shd w:val="clear" w:color="auto" w:fill="FFFFFF"/>
            <w:noWrap w:val="0"/>
            <w:vAlign w:val="center"/>
          </w:tcPr>
          <w:p>
            <w:pPr>
              <w:spacing w:line="276" w:lineRule="auto"/>
              <w:ind w:firstLine="480" w:firstLineChars="200"/>
              <w:rPr>
                <w:rFonts w:hint="eastAsia" w:ascii="宋体" w:hAnsi="宋体" w:cs="宋体"/>
                <w:sz w:val="24"/>
                <w:szCs w:val="24"/>
              </w:rPr>
            </w:pPr>
            <w:r>
              <w:rPr>
                <w:rFonts w:hint="eastAsia" w:ascii="宋体" w:hAnsi="宋体" w:cs="宋体"/>
                <w:sz w:val="24"/>
                <w:szCs w:val="24"/>
              </w:rPr>
              <w:t>各阶段</w:t>
            </w:r>
          </w:p>
        </w:tc>
      </w:tr>
    </w:tbl>
    <w:p>
      <w:pPr>
        <w:ind w:firstLine="480" w:firstLineChars="200"/>
        <w:rPr>
          <w:rFonts w:hint="eastAsia" w:ascii="宋体" w:hAnsi="宋体" w:cs="宋体"/>
          <w:sz w:val="24"/>
          <w:szCs w:val="24"/>
        </w:rPr>
      </w:pPr>
    </w:p>
    <w:p>
      <w:pPr>
        <w:pStyle w:val="4"/>
        <w:rPr>
          <w:rFonts w:hint="eastAsia" w:ascii="宋体" w:hAnsi="宋体" w:cs="宋体"/>
          <w:sz w:val="24"/>
          <w:szCs w:val="24"/>
        </w:rPr>
      </w:pPr>
      <w:r>
        <w:rPr>
          <w:rFonts w:hint="eastAsia" w:ascii="宋体" w:hAnsi="宋体"/>
          <w:sz w:val="24"/>
          <w:szCs w:val="24"/>
        </w:rPr>
        <w:t>三、质保及售后服务规定</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售后服务要求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中标商必须在项目实施完成验收（终验）后提供一年的免费售后服务。免费服务期自供需双方代表在系统验收单上签字之日算起。投标人必须提供详细的免费服务期内售后服务方案，服务方案包括但不限于：</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派至少两名参与本项目实施的技术人员常驻深圳市税务局现场提供服务，包括新增需求开发、系统运维等。如果有紧急开发任务常驻人员不能满足开发要求，中标商应及时增派开发人员，保证新增需求按时上线。</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系统运行状况检查、监控：针对后台数据以及各个数据库进行必要的监控，以保证系统正常稳定的运行，并于每周发布系统运行监控记录。同时应满足深圳市税务局要求的针对系统相关情况的统计、分析工作；并对应用系统提供（月度、季度、半年度）¬的定期检查服务，提出系统优化、升级等建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3、系统备份：配合招标方网站管理人员，定期对系统进行全面和部分的数据备份，并确保备份数据的完整性和一致性。</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4、系统技术支持：解答用户应用软件系统使用中的常见问题。针对招标方提出的技术问题，负责进行解答并提供相关的技术方案。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5、系统故障处理：负责诊断、分析、解决系统故障，对其程序错误及缺陷进行排错。</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6、处理服务请求：处理深圳市税务局用户通过电话等方式提交的服务请求，负责解答、解决各类疑难问题。</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7、系统免费维护：除涉及系统重构、基础架构变更等重大需求，中标商必须提供免费维护。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8、系统优化：根据系统运行状况对系统软件参数进行调整，以保证系统高效运行。与其他系统接口有变化时，调整系统接口，适应其他系统接口要求。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9、维护服务期间，需要对生产环境进行维护时，必须严格遵守深圳市税务局有关管理制度、操作规程。对于中标商违规操作造成深圳市税务局损失的，由中标商负责赔偿。</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10、对于不能明确是否是由软件系统引起的故障，中标商应尽力配合其它设备和系统供应商进行检查，并能在上述响应时间内到达现场协助排除故障。</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11、驻点人员变动需向深圳市税务局提供书面申请征得同意，必须保证后续人员具有同等的资质和能力。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12、服务承诺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中标方应为本项目提供一年免费运维服务。提供7*24的技术支持，最大程度地降低系统的停机时间，保障系统的可靠性和可用性。中标方要提供有5×8小时客户服务热线及完善的响应机制。对网站提供包括（但不限于）系统维护、错误修正在内的全方位免费维保服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13、响应时间</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对影响软件正常运行、造成业务工作大面积无法运转的严重故障，中标方须在15分钟内响应、2小时内解决故障。对于其他一般故障，中标方须在接到通知后30分钟内响应、4小时解决故障。</w:t>
      </w:r>
    </w:p>
    <w:p>
      <w:pPr>
        <w:ind w:firstLine="480" w:firstLineChars="200"/>
        <w:rPr>
          <w:rFonts w:hint="eastAsia" w:ascii="宋体" w:hAnsi="宋体" w:cs="宋体"/>
          <w:sz w:val="24"/>
          <w:szCs w:val="24"/>
        </w:rPr>
      </w:pPr>
    </w:p>
    <w:p>
      <w:pPr>
        <w:pStyle w:val="4"/>
        <w:rPr>
          <w:rFonts w:hint="eastAsia" w:ascii="宋体" w:hAnsi="宋体" w:cs="宋体"/>
          <w:sz w:val="24"/>
          <w:szCs w:val="24"/>
        </w:rPr>
      </w:pPr>
      <w:r>
        <w:rPr>
          <w:rFonts w:hint="eastAsia" w:ascii="宋体" w:hAnsi="宋体"/>
          <w:sz w:val="24"/>
          <w:szCs w:val="24"/>
        </w:rPr>
        <w:t>四、其他项目要求</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（一）培训及技术转移要求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投标人提供针对国家税务局总局深圳市税务局人员的技术培训和业务培训方案，并在中标后提供相应培训，实现技术转移。技术培训包括系统安装和配置、系统架构、设计、开发、数据建模、运行管理和维护、故障处理等内容，业务培训包括系统的操作方法、技巧、业务流程说明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在项目实施过程中，通过共同实施、培训、答疑等方式，负责培养深圳市税务局方至少两名技术人员掌握本系统核心技术，实现系统核心技术从中标商到招标人的转移。</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（二）知识产权及保密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根据本合同所规定向采购人交付的项目的著作权归采购人所有。（注明：如果项目中使用到投标人享有著作权的成熟软件、工具或其他产品，须在合同中列明。对于以上软件、工具或其他产品，采购人有权在本项目上或本项目的后续维护和开发中使用、开发或委托第三方开发，投标人应提供相关技术文档并提供技术支持）。在履行本合同过程中所创造产生的所有其他知识产权，包括但不限于设计方案、各种说明书、测试数据资料、技术诀窍以及其他技术文档，由采购人依法享有相应权利。</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2、投标人对前述知识产权信息负有保密义务，投标人未经对方书面许可，不得向任何第三方透露，亦不得用于本合同所涉及的系统之外的任何其他用途。</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投标人承诺在提供本合同约定服务过程中，获知的采购人信息（包括但不限于未被社会公众知悉的一切信息），无论在合同期限或合同终止后，均应予以保密，未经采购人事先书面授权，不得以任何方式向其他组织或个人泄密、转让、许可使用及交换，更不能利用相关信息进行合同约定业务以外的任何商业活动。如投标人违反本合同条款的规定泄密，投标人应当赔偿采购人由此产生的全部损失，同时采购人保留对投标人追究相关法律责任的权利。</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4、投标人保证在项目中交付给采购人的所有软硬件涉及到的知识产权完全合法有效，并不侵犯第三方所拥有的知识产权，否则由此造成的一切后果以及引起的一切纠纷，由投标人承担全部责任。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未经采购人书面许可，投标人不得以任何形式带出、引用或使用采购人的信息和数据，不得拷贝采购人的业务数据，不得以任何形式向第三方泄漏深圳税务系统网络架构、系统模型、开发文档及数据模型代码。如造成采购人损失的，将依法追究投标人责任。</w:t>
      </w:r>
    </w:p>
    <w:p>
      <w:r>
        <w:rPr>
          <w:rFonts w:hint="eastAsia" w:ascii="宋体" w:hAnsi="宋体" w:cs="宋体"/>
          <w:sz w:val="24"/>
          <w:szCs w:val="24"/>
        </w:rPr>
        <w:t>6、保密期限为永久。</w:t>
      </w:r>
      <w:bookmarkStart w:id="10" w:name="_GoBack"/>
      <w:bookmarkEnd w:id="10"/>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PAGE</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6</w:t>
    </w:r>
    <w:r>
      <w:rPr>
        <w:rFonts w:ascii="新宋体" w:hAnsi="新宋体" w:eastAsia="新宋体"/>
        <w:bCs/>
        <w:kern w:val="0"/>
        <w:sz w:val="18"/>
        <w:szCs w:val="18"/>
        <w:lang w:val="zh-CN" w:eastAsia="zh-CN"/>
      </w:rPr>
      <w:fldChar w:fldCharType="end"/>
    </w:r>
    <w:r>
      <w:rPr>
        <w:rFonts w:ascii="新宋体" w:hAnsi="新宋体" w:eastAsia="新宋体"/>
        <w:kern w:val="0"/>
        <w:sz w:val="18"/>
        <w:szCs w:val="18"/>
        <w:lang w:val="zh-CN" w:eastAsia="zh-CN"/>
      </w:rPr>
      <w:t xml:space="preserve"> /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NUMPAGES</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7</w:t>
    </w:r>
    <w:r>
      <w:rPr>
        <w:rFonts w:ascii="新宋体" w:hAnsi="新宋体" w:eastAsia="新宋体"/>
        <w:bCs/>
        <w:kern w:val="0"/>
        <w:sz w:val="18"/>
        <w:szCs w:val="18"/>
        <w:lang w:val="zh-CN" w:eastAsia="zh-CN"/>
      </w:rPr>
      <w:fldChar w:fldCharType="end"/>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060"/>
        <w:tab w:val="clear" w:pos="4153"/>
        <w:tab w:val="clear" w:pos="8306"/>
      </w:tabs>
      <w:spacing w:line="360" w:lineRule="auto"/>
      <w:ind w:firstLine="90" w:firstLineChars="50"/>
      <w:jc w:val="left"/>
      <w:rPr>
        <w:rFonts w:ascii="新宋体" w:hAnsi="新宋体" w:eastAsia="新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B4836"/>
    <w:multiLevelType w:val="multilevel"/>
    <w:tmpl w:val="1C8B4836"/>
    <w:lvl w:ilvl="0" w:tentative="0">
      <w:start w:val="1"/>
      <w:numFmt w:val="japaneseCounting"/>
      <w:lvlText w:val="（%1）"/>
      <w:lvlJc w:val="left"/>
      <w:pPr>
        <w:ind w:left="1247" w:hanging="765"/>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4C5475FD"/>
    <w:multiLevelType w:val="multilevel"/>
    <w:tmpl w:val="4C5475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263955"/>
    <w:rsid w:val="00374611"/>
    <w:rsid w:val="00391D2A"/>
    <w:rsid w:val="00584311"/>
    <w:rsid w:val="00634E4A"/>
    <w:rsid w:val="00720994"/>
    <w:rsid w:val="0087030C"/>
    <w:rsid w:val="00914F23"/>
    <w:rsid w:val="00AB239E"/>
    <w:rsid w:val="00AC2812"/>
    <w:rsid w:val="00AE721F"/>
    <w:rsid w:val="00B25542"/>
    <w:rsid w:val="00B52D07"/>
    <w:rsid w:val="00BD3F95"/>
    <w:rsid w:val="00BE7455"/>
    <w:rsid w:val="00CA6DD6"/>
    <w:rsid w:val="00D71CF8"/>
    <w:rsid w:val="00DF745D"/>
    <w:rsid w:val="00E34658"/>
    <w:rsid w:val="00E34D08"/>
    <w:rsid w:val="00F07B67"/>
    <w:rsid w:val="00F5791C"/>
    <w:rsid w:val="00FC0479"/>
    <w:rsid w:val="72E6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19"/>
    <w:qFormat/>
    <w:uiPriority w:val="99"/>
    <w:pPr>
      <w:keepNext/>
      <w:keepLines/>
      <w:spacing w:before="260" w:after="260" w:line="413" w:lineRule="auto"/>
      <w:outlineLvl w:val="2"/>
    </w:pPr>
    <w:rPr>
      <w:b/>
      <w:kern w:val="0"/>
      <w:sz w:val="32"/>
      <w:szCs w:val="20"/>
      <w:lang w:val="zh-CN" w:eastAsia="zh-CN"/>
    </w:rPr>
  </w:style>
  <w:style w:type="paragraph" w:styleId="4">
    <w:name w:val="heading 4"/>
    <w:basedOn w:val="1"/>
    <w:next w:val="1"/>
    <w:link w:val="20"/>
    <w:qFormat/>
    <w:uiPriority w:val="99"/>
    <w:pPr>
      <w:keepNext/>
      <w:keepLines/>
      <w:spacing w:before="280" w:after="290" w:line="376" w:lineRule="auto"/>
      <w:outlineLvl w:val="3"/>
    </w:pPr>
    <w:rPr>
      <w:rFonts w:ascii="Calibri Light" w:hAnsi="Calibri Light"/>
      <w:b/>
      <w:bCs/>
      <w:kern w:val="0"/>
      <w:sz w:val="28"/>
      <w:szCs w:val="28"/>
      <w:lang w:val="zh-CN" w:eastAsia="zh-CN"/>
    </w:rPr>
  </w:style>
  <w:style w:type="paragraph" w:styleId="5">
    <w:name w:val="heading 5"/>
    <w:basedOn w:val="1"/>
    <w:next w:val="1"/>
    <w:link w:val="21"/>
    <w:qFormat/>
    <w:uiPriority w:val="99"/>
    <w:pPr>
      <w:keepNext/>
      <w:keepLines/>
      <w:spacing w:before="280" w:after="290" w:line="376" w:lineRule="auto"/>
      <w:outlineLvl w:val="4"/>
    </w:pPr>
    <w:rPr>
      <w:b/>
      <w:bCs/>
      <w:kern w:val="0"/>
      <w:sz w:val="28"/>
      <w:szCs w:val="28"/>
      <w:lang w:val="zh-CN"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22"/>
    <w:qFormat/>
    <w:uiPriority w:val="99"/>
    <w:rPr>
      <w:rFonts w:ascii="宋体" w:hAnsi="Courier New"/>
      <w:kern w:val="0"/>
      <w:sz w:val="20"/>
      <w:szCs w:val="21"/>
      <w:lang w:val="zh-CN" w:eastAsia="zh-CN"/>
    </w:rPr>
  </w:style>
  <w:style w:type="paragraph" w:styleId="7">
    <w:name w:val="Balloon Text"/>
    <w:basedOn w:val="1"/>
    <w:link w:val="18"/>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sz w:val="18"/>
      <w:szCs w:val="18"/>
    </w:rPr>
  </w:style>
  <w:style w:type="character" w:customStyle="1" w:styleId="13">
    <w:name w:val="页脚 字符"/>
    <w:basedOn w:val="11"/>
    <w:link w:val="8"/>
    <w:qFormat/>
    <w:uiPriority w:val="99"/>
    <w:rPr>
      <w:sz w:val="18"/>
      <w:szCs w:val="18"/>
    </w:rPr>
  </w:style>
  <w:style w:type="character" w:customStyle="1" w:styleId="14">
    <w:name w:val="列表段落 字符"/>
    <w:link w:val="15"/>
    <w:qFormat/>
    <w:locked/>
    <w:uiPriority w:val="34"/>
  </w:style>
  <w:style w:type="paragraph" w:styleId="15">
    <w:name w:val="List Paragraph"/>
    <w:basedOn w:val="1"/>
    <w:link w:val="14"/>
    <w:qFormat/>
    <w:uiPriority w:val="34"/>
    <w:pPr>
      <w:ind w:firstLine="420"/>
    </w:pPr>
  </w:style>
  <w:style w:type="paragraph" w:customStyle="1" w:styleId="16">
    <w:name w:val="正文 首行缩进:  2 字符"/>
    <w:basedOn w:val="1"/>
    <w:link w:val="17"/>
    <w:qFormat/>
    <w:uiPriority w:val="0"/>
    <w:pPr>
      <w:spacing w:line="360" w:lineRule="auto"/>
      <w:ind w:firstLine="480" w:firstLineChars="200"/>
    </w:pPr>
    <w:rPr>
      <w:rFonts w:ascii="Times New Roman" w:hAnsi="Times New Roman"/>
      <w:sz w:val="24"/>
      <w:szCs w:val="20"/>
      <w:lang w:val="zh-CN" w:eastAsia="zh-CN"/>
    </w:rPr>
  </w:style>
  <w:style w:type="character" w:customStyle="1" w:styleId="17">
    <w:name w:val="正文 首行缩进:  2 字符 Char"/>
    <w:link w:val="16"/>
    <w:qFormat/>
    <w:uiPriority w:val="0"/>
    <w:rPr>
      <w:rFonts w:ascii="Times New Roman" w:hAnsi="Times New Roman" w:eastAsia="宋体" w:cs="Times New Roman"/>
      <w:sz w:val="24"/>
      <w:szCs w:val="20"/>
      <w:lang w:val="zh-CN" w:eastAsia="zh-CN"/>
    </w:rPr>
  </w:style>
  <w:style w:type="character" w:customStyle="1" w:styleId="18">
    <w:name w:val="批注框文本 字符"/>
    <w:basedOn w:val="11"/>
    <w:link w:val="7"/>
    <w:semiHidden/>
    <w:qFormat/>
    <w:uiPriority w:val="99"/>
    <w:rPr>
      <w:sz w:val="18"/>
      <w:szCs w:val="18"/>
    </w:rPr>
  </w:style>
  <w:style w:type="character" w:customStyle="1" w:styleId="19">
    <w:name w:val="标题 3 字符"/>
    <w:basedOn w:val="11"/>
    <w:link w:val="3"/>
    <w:qFormat/>
    <w:uiPriority w:val="99"/>
    <w:rPr>
      <w:rFonts w:ascii="Calibri" w:hAnsi="Calibri" w:eastAsia="宋体" w:cs="Times New Roman"/>
      <w:b/>
      <w:kern w:val="0"/>
      <w:sz w:val="32"/>
      <w:szCs w:val="20"/>
      <w:lang w:val="zh-CN" w:eastAsia="zh-CN"/>
    </w:rPr>
  </w:style>
  <w:style w:type="character" w:customStyle="1" w:styleId="20">
    <w:name w:val="标题 4 字符"/>
    <w:basedOn w:val="11"/>
    <w:link w:val="4"/>
    <w:qFormat/>
    <w:uiPriority w:val="99"/>
    <w:rPr>
      <w:rFonts w:ascii="Calibri Light" w:hAnsi="Calibri Light" w:eastAsia="宋体" w:cs="Times New Roman"/>
      <w:b/>
      <w:bCs/>
      <w:kern w:val="0"/>
      <w:sz w:val="28"/>
      <w:szCs w:val="28"/>
      <w:lang w:val="zh-CN" w:eastAsia="zh-CN"/>
    </w:rPr>
  </w:style>
  <w:style w:type="character" w:customStyle="1" w:styleId="21">
    <w:name w:val="标题 5 字符"/>
    <w:basedOn w:val="11"/>
    <w:link w:val="5"/>
    <w:qFormat/>
    <w:uiPriority w:val="99"/>
    <w:rPr>
      <w:rFonts w:ascii="Calibri" w:hAnsi="Calibri" w:eastAsia="宋体" w:cs="Times New Roman"/>
      <w:b/>
      <w:bCs/>
      <w:kern w:val="0"/>
      <w:sz w:val="28"/>
      <w:szCs w:val="28"/>
      <w:lang w:val="zh-CN" w:eastAsia="zh-CN"/>
    </w:rPr>
  </w:style>
  <w:style w:type="character" w:customStyle="1" w:styleId="22">
    <w:name w:val="纯文本 字符"/>
    <w:basedOn w:val="11"/>
    <w:link w:val="6"/>
    <w:qFormat/>
    <w:uiPriority w:val="99"/>
    <w:rPr>
      <w:rFonts w:ascii="宋体" w:hAnsi="Courier New" w:eastAsia="宋体" w:cs="Times New Roman"/>
      <w:kern w:val="0"/>
      <w:sz w:val="20"/>
      <w:szCs w:val="21"/>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1000</Words>
  <Characters>5706</Characters>
  <Lines>47</Lines>
  <Paragraphs>13</Paragraphs>
  <TotalTime>0</TotalTime>
  <ScaleCrop>false</ScaleCrop>
  <LinksUpToDate>false</LinksUpToDate>
  <CharactersWithSpaces>6693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Administrator</cp:lastModifiedBy>
  <dcterms:modified xsi:type="dcterms:W3CDTF">2020-07-17T07:57:49Z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