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8FBB0" w14:textId="75FA4BF8" w:rsidR="00735BC7" w:rsidRDefault="00735BC7" w:rsidP="00735BC7">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w:t>
      </w:r>
      <w:r>
        <w:rPr>
          <w:rFonts w:ascii="华文中宋" w:eastAsia="华文中宋" w:hAnsi="华文中宋" w:hint="eastAsia"/>
          <w:kern w:val="0"/>
          <w:sz w:val="28"/>
          <w:szCs w:val="28"/>
          <w:lang w:val="zh-CN"/>
        </w:rPr>
        <w:t>招标项目概况</w:t>
      </w:r>
    </w:p>
    <w:p w14:paraId="63DC5F7C" w14:textId="77777777" w:rsidR="00735BC7" w:rsidRDefault="00735BC7" w:rsidP="00735BC7">
      <w:pPr>
        <w:spacing w:line="360" w:lineRule="auto"/>
        <w:rPr>
          <w:rFonts w:ascii="新宋体" w:eastAsia="新宋体" w:hAnsi="新宋体"/>
        </w:rPr>
      </w:pPr>
      <w:r>
        <w:rPr>
          <w:rFonts w:ascii="新宋体" w:eastAsia="新宋体" w:hAnsi="新宋体" w:hint="eastAsia"/>
        </w:rPr>
        <w:t>1、项目概况:</w:t>
      </w:r>
      <w:r>
        <w:rPr>
          <w:rFonts w:hint="eastAsia"/>
        </w:rPr>
        <w:t xml:space="preserve"> </w:t>
      </w:r>
      <w:r>
        <w:rPr>
          <w:rFonts w:ascii="新宋体" w:eastAsia="新宋体" w:hAnsi="新宋体" w:hint="eastAsia"/>
        </w:rPr>
        <w:t>为加强和规范单位食堂</w:t>
      </w:r>
      <w:proofErr w:type="gramStart"/>
      <w:r>
        <w:rPr>
          <w:rFonts w:ascii="新宋体" w:eastAsia="新宋体" w:hAnsi="新宋体" w:hint="eastAsia"/>
        </w:rPr>
        <w:t>食品安全管理</w:t>
      </w:r>
      <w:proofErr w:type="gramEnd"/>
      <w:r>
        <w:rPr>
          <w:rFonts w:ascii="新宋体" w:eastAsia="新宋体" w:hAnsi="新宋体" w:hint="eastAsia"/>
        </w:rPr>
        <w:t>，协助食堂提升</w:t>
      </w:r>
      <w:proofErr w:type="gramStart"/>
      <w:r>
        <w:rPr>
          <w:rFonts w:ascii="新宋体" w:eastAsia="新宋体" w:hAnsi="新宋体" w:hint="eastAsia"/>
        </w:rPr>
        <w:t>食品安全管理</w:t>
      </w:r>
      <w:proofErr w:type="gramEnd"/>
      <w:r>
        <w:rPr>
          <w:rFonts w:ascii="新宋体" w:eastAsia="新宋体" w:hAnsi="新宋体" w:hint="eastAsia"/>
        </w:rPr>
        <w:t>水平，预防</w:t>
      </w:r>
      <w:proofErr w:type="gramStart"/>
      <w:r>
        <w:rPr>
          <w:rFonts w:ascii="新宋体" w:eastAsia="新宋体" w:hAnsi="新宋体" w:hint="eastAsia"/>
        </w:rPr>
        <w:t>食品安全事故</w:t>
      </w:r>
      <w:proofErr w:type="gramEnd"/>
      <w:r>
        <w:rPr>
          <w:rFonts w:ascii="新宋体" w:eastAsia="新宋体" w:hAnsi="新宋体" w:hint="eastAsia"/>
        </w:rPr>
        <w:t>的发生，拟委托第三</w:t>
      </w:r>
      <w:proofErr w:type="gramStart"/>
      <w:r>
        <w:rPr>
          <w:rFonts w:ascii="新宋体" w:eastAsia="新宋体" w:hAnsi="新宋体" w:hint="eastAsia"/>
        </w:rPr>
        <w:t>方专业</w:t>
      </w:r>
      <w:proofErr w:type="gramEnd"/>
      <w:r>
        <w:rPr>
          <w:rFonts w:ascii="新宋体" w:eastAsia="新宋体" w:hAnsi="新宋体" w:hint="eastAsia"/>
        </w:rPr>
        <w:t>机构依据《中华人民共和国食品安全法》、《广东省食品安全条例》、《深圳市餐饮单位食品安全量化检查标准》等有关法律、法规的要求，对单位食堂开展食品</w:t>
      </w:r>
      <w:proofErr w:type="gramStart"/>
      <w:r>
        <w:rPr>
          <w:rFonts w:ascii="新宋体" w:eastAsia="新宋体" w:hAnsi="新宋体" w:hint="eastAsia"/>
        </w:rPr>
        <w:t>安全第三</w:t>
      </w:r>
      <w:proofErr w:type="gramEnd"/>
      <w:r>
        <w:rPr>
          <w:rFonts w:ascii="新宋体" w:eastAsia="新宋体" w:hAnsi="新宋体" w:hint="eastAsia"/>
        </w:rPr>
        <w:t xml:space="preserve">方监管服务。                     </w:t>
      </w:r>
    </w:p>
    <w:p w14:paraId="1847FC01" w14:textId="77777777" w:rsidR="00735BC7" w:rsidRDefault="00735BC7" w:rsidP="00735BC7">
      <w:pPr>
        <w:spacing w:line="360" w:lineRule="auto"/>
        <w:rPr>
          <w:rFonts w:ascii="新宋体" w:eastAsia="新宋体" w:hAnsi="新宋体"/>
        </w:rPr>
      </w:pPr>
      <w:r>
        <w:rPr>
          <w:rFonts w:ascii="新宋体" w:eastAsia="新宋体" w:hAnsi="新宋体" w:hint="eastAsia"/>
        </w:rPr>
        <w:t>2、（二）</w:t>
      </w:r>
      <w:r>
        <w:rPr>
          <w:rFonts w:ascii="新宋体" w:eastAsia="新宋体" w:hAnsi="新宋体"/>
        </w:rPr>
        <w:t>预算</w:t>
      </w:r>
      <w:r>
        <w:rPr>
          <w:rFonts w:ascii="新宋体" w:eastAsia="新宋体" w:hAnsi="新宋体" w:hint="eastAsia"/>
        </w:rPr>
        <w:t>金额:</w:t>
      </w:r>
      <w:r>
        <w:t xml:space="preserve"> </w:t>
      </w:r>
      <w:bookmarkStart w:id="0" w:name="_Hlk43824180"/>
      <w:r>
        <w:rPr>
          <w:rFonts w:ascii="新宋体" w:eastAsia="新宋体" w:hAnsi="新宋体"/>
          <w:u w:val="single"/>
        </w:rPr>
        <w:t>98262</w:t>
      </w:r>
      <w:r>
        <w:rPr>
          <w:rFonts w:ascii="新宋体" w:eastAsia="新宋体" w:hAnsi="新宋体" w:hint="eastAsia"/>
          <w:u w:val="single"/>
        </w:rPr>
        <w:t>元</w:t>
      </w:r>
      <w:bookmarkEnd w:id="0"/>
      <w:r>
        <w:rPr>
          <w:rFonts w:ascii="新宋体" w:eastAsia="新宋体" w:hAnsi="新宋体" w:hint="eastAsia"/>
        </w:rPr>
        <w:t>，</w:t>
      </w:r>
      <w:r>
        <w:rPr>
          <w:rFonts w:ascii="新宋体" w:eastAsia="新宋体" w:hAnsi="新宋体"/>
        </w:rPr>
        <w:t>最高投标限价</w:t>
      </w:r>
      <w:r>
        <w:rPr>
          <w:rFonts w:ascii="新宋体" w:eastAsia="新宋体" w:hAnsi="新宋体" w:hint="eastAsia"/>
        </w:rPr>
        <w:t xml:space="preserve">: </w:t>
      </w:r>
      <w:r>
        <w:rPr>
          <w:rFonts w:ascii="新宋体" w:eastAsia="新宋体" w:hAnsi="新宋体" w:hint="eastAsia"/>
          <w:u w:val="single"/>
        </w:rPr>
        <w:t>98262元</w:t>
      </w:r>
      <w:r>
        <w:rPr>
          <w:rFonts w:ascii="新宋体" w:eastAsia="新宋体" w:hAnsi="新宋体" w:hint="eastAsia"/>
        </w:rPr>
        <w:t xml:space="preserve">                     </w:t>
      </w:r>
    </w:p>
    <w:p w14:paraId="1C9B71AE" w14:textId="77777777" w:rsidR="00735BC7" w:rsidRPr="005E0FC5" w:rsidRDefault="00735BC7" w:rsidP="00735BC7">
      <w:pPr>
        <w:spacing w:line="360" w:lineRule="auto"/>
        <w:rPr>
          <w:rFonts w:ascii="新宋体" w:eastAsia="新宋体" w:hAnsi="新宋体"/>
          <w:kern w:val="0"/>
        </w:rPr>
      </w:pPr>
      <w:r w:rsidRPr="005E0FC5">
        <w:rPr>
          <w:rFonts w:ascii="新宋体" w:eastAsia="新宋体" w:hAnsi="新宋体"/>
        </w:rPr>
        <w:t>3</w:t>
      </w:r>
      <w:r w:rsidRPr="005E0FC5">
        <w:rPr>
          <w:rFonts w:ascii="新宋体" w:eastAsia="新宋体" w:hAnsi="新宋体" w:hint="eastAsia"/>
        </w:rPr>
        <w:t>、项目</w:t>
      </w:r>
      <w:r w:rsidRPr="005E0FC5">
        <w:rPr>
          <w:rFonts w:ascii="新宋体" w:eastAsia="新宋体" w:hAnsi="新宋体" w:hint="eastAsia"/>
          <w:kern w:val="0"/>
        </w:rPr>
        <w:t>工期要求：</w:t>
      </w:r>
      <w:r w:rsidRPr="005E0FC5">
        <w:rPr>
          <w:rFonts w:ascii="新宋体" w:eastAsia="新宋体" w:hAnsi="新宋体" w:hint="eastAsia"/>
        </w:rPr>
        <w:t>合同签订之日起一年；</w:t>
      </w:r>
    </w:p>
    <w:p w14:paraId="1264E659" w14:textId="77777777" w:rsidR="00735BC7" w:rsidRDefault="00735BC7" w:rsidP="00735BC7"/>
    <w:p w14:paraId="43E59868" w14:textId="0111090D" w:rsidR="00735BC7" w:rsidRDefault="00735BC7" w:rsidP="00735BC7">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二</w:t>
      </w:r>
      <w:r>
        <w:rPr>
          <w:rFonts w:ascii="华文中宋" w:eastAsia="华文中宋" w:hAnsi="华文中宋" w:hint="eastAsia"/>
          <w:kern w:val="0"/>
          <w:sz w:val="28"/>
          <w:szCs w:val="28"/>
          <w:lang w:val="zh-CN"/>
        </w:rPr>
        <w:t>、项目技术要求</w:t>
      </w:r>
    </w:p>
    <w:p w14:paraId="5A14B0D6" w14:textId="77777777" w:rsidR="00735BC7" w:rsidRDefault="00735BC7" w:rsidP="00735BC7">
      <w:pPr>
        <w:pStyle w:val="3"/>
        <w:tabs>
          <w:tab w:val="left" w:pos="709"/>
        </w:tabs>
        <w:topLinePunct/>
        <w:spacing w:line="360" w:lineRule="auto"/>
        <w:rPr>
          <w:rFonts w:ascii="新宋体" w:eastAsia="新宋体" w:hAnsi="新宋体"/>
          <w:b/>
          <w:kern w:val="0"/>
          <w:sz w:val="21"/>
          <w:szCs w:val="21"/>
        </w:rPr>
      </w:pPr>
      <w:r>
        <w:rPr>
          <w:rFonts w:ascii="新宋体" w:eastAsia="新宋体" w:hAnsi="新宋体" w:hint="eastAsia"/>
          <w:b/>
          <w:kern w:val="0"/>
          <w:sz w:val="21"/>
          <w:szCs w:val="21"/>
        </w:rPr>
        <w:t>（一）工作内容</w:t>
      </w:r>
    </w:p>
    <w:p w14:paraId="66D0E086" w14:textId="77777777" w:rsidR="00735BC7"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5E0FC5">
        <w:rPr>
          <w:rFonts w:ascii="新宋体" w:eastAsia="新宋体" w:hAnsi="新宋体" w:hint="eastAsia"/>
          <w:kern w:val="0"/>
          <w:sz w:val="21"/>
          <w:szCs w:val="21"/>
        </w:rPr>
        <w:t>第三</w:t>
      </w:r>
      <w:proofErr w:type="gramStart"/>
      <w:r w:rsidRPr="005E0FC5">
        <w:rPr>
          <w:rFonts w:ascii="新宋体" w:eastAsia="新宋体" w:hAnsi="新宋体" w:hint="eastAsia"/>
          <w:kern w:val="0"/>
          <w:sz w:val="21"/>
          <w:szCs w:val="21"/>
        </w:rPr>
        <w:t>方专业</w:t>
      </w:r>
      <w:proofErr w:type="gramEnd"/>
      <w:r w:rsidRPr="005E0FC5">
        <w:rPr>
          <w:rFonts w:ascii="新宋体" w:eastAsia="新宋体" w:hAnsi="新宋体" w:hint="eastAsia"/>
          <w:kern w:val="0"/>
          <w:sz w:val="21"/>
          <w:szCs w:val="21"/>
        </w:rPr>
        <w:t>机构为深圳市人民检察院机关食堂食品</w:t>
      </w:r>
      <w:proofErr w:type="gramStart"/>
      <w:r w:rsidRPr="005E0FC5">
        <w:rPr>
          <w:rFonts w:ascii="新宋体" w:eastAsia="新宋体" w:hAnsi="新宋体" w:hint="eastAsia"/>
          <w:kern w:val="0"/>
          <w:sz w:val="21"/>
          <w:szCs w:val="21"/>
        </w:rPr>
        <w:t>安全第三</w:t>
      </w:r>
      <w:proofErr w:type="gramEnd"/>
      <w:r w:rsidRPr="005E0FC5">
        <w:rPr>
          <w:rFonts w:ascii="新宋体" w:eastAsia="新宋体" w:hAnsi="新宋体" w:hint="eastAsia"/>
          <w:kern w:val="0"/>
          <w:sz w:val="21"/>
          <w:szCs w:val="21"/>
        </w:rPr>
        <w:t>方监管服务。由第三</w:t>
      </w:r>
      <w:proofErr w:type="gramStart"/>
      <w:r w:rsidRPr="005E0FC5">
        <w:rPr>
          <w:rFonts w:ascii="新宋体" w:eastAsia="新宋体" w:hAnsi="新宋体" w:hint="eastAsia"/>
          <w:kern w:val="0"/>
          <w:sz w:val="21"/>
          <w:szCs w:val="21"/>
        </w:rPr>
        <w:t>方专业</w:t>
      </w:r>
      <w:proofErr w:type="gramEnd"/>
      <w:r w:rsidRPr="005E0FC5">
        <w:rPr>
          <w:rFonts w:ascii="新宋体" w:eastAsia="新宋体" w:hAnsi="新宋体" w:hint="eastAsia"/>
          <w:kern w:val="0"/>
          <w:sz w:val="21"/>
          <w:szCs w:val="21"/>
        </w:rPr>
        <w:t>机构派出专业人员协助深圳市人民检察</w:t>
      </w:r>
      <w:r>
        <w:rPr>
          <w:rFonts w:ascii="新宋体" w:eastAsia="新宋体" w:hAnsi="新宋体" w:hint="eastAsia"/>
          <w:kern w:val="0"/>
          <w:sz w:val="21"/>
          <w:szCs w:val="21"/>
        </w:rPr>
        <w:t>院监管单位食堂工作。购买服务内容包括：</w:t>
      </w:r>
    </w:p>
    <w:p w14:paraId="76426C43" w14:textId="77777777" w:rsidR="00735BC7"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Pr>
          <w:rFonts w:ascii="新宋体" w:eastAsia="新宋体" w:hAnsi="新宋体" w:hint="eastAsia"/>
          <w:kern w:val="0"/>
          <w:sz w:val="21"/>
          <w:szCs w:val="21"/>
        </w:rPr>
        <w:t>1.现场监管服务</w:t>
      </w:r>
    </w:p>
    <w:p w14:paraId="6D4042A5" w14:textId="77777777" w:rsidR="00735BC7" w:rsidRPr="008F288D"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Pr>
          <w:rFonts w:ascii="新宋体" w:eastAsia="新宋体" w:hAnsi="新宋体" w:hint="eastAsia"/>
          <w:kern w:val="0"/>
          <w:sz w:val="21"/>
          <w:szCs w:val="21"/>
        </w:rPr>
        <w:t>依据</w:t>
      </w:r>
      <w:proofErr w:type="gramStart"/>
      <w:r>
        <w:rPr>
          <w:rFonts w:ascii="新宋体" w:eastAsia="新宋体" w:hAnsi="新宋体" w:hint="eastAsia"/>
          <w:kern w:val="0"/>
          <w:sz w:val="21"/>
          <w:szCs w:val="21"/>
        </w:rPr>
        <w:t>相关法律</w:t>
      </w:r>
      <w:proofErr w:type="gramEnd"/>
      <w:r>
        <w:rPr>
          <w:rFonts w:ascii="新宋体" w:eastAsia="新宋体" w:hAnsi="新宋体" w:hint="eastAsia"/>
          <w:kern w:val="0"/>
          <w:sz w:val="21"/>
          <w:szCs w:val="21"/>
        </w:rPr>
        <w:t>法规、标准对单位食堂流程布局、加工过程、人员卫生及管理体系开展全面食品安全风险隐患排查，评价食堂硬件及管理过程是否符合安全卫生要求，对存在的不符合项，及时提出改进</w:t>
      </w:r>
      <w:r w:rsidRPr="008F288D">
        <w:rPr>
          <w:rFonts w:ascii="新宋体" w:eastAsia="新宋体" w:hAnsi="新宋体" w:hint="eastAsia"/>
          <w:kern w:val="0"/>
          <w:sz w:val="21"/>
          <w:szCs w:val="21"/>
        </w:rPr>
        <w:t>方案或建议，协助食堂提升</w:t>
      </w:r>
      <w:proofErr w:type="gramStart"/>
      <w:r w:rsidRPr="008F288D">
        <w:rPr>
          <w:rFonts w:ascii="新宋体" w:eastAsia="新宋体" w:hAnsi="新宋体" w:hint="eastAsia"/>
          <w:kern w:val="0"/>
          <w:sz w:val="21"/>
          <w:szCs w:val="21"/>
        </w:rPr>
        <w:t>食品安全管理</w:t>
      </w:r>
      <w:proofErr w:type="gramEnd"/>
      <w:r w:rsidRPr="008F288D">
        <w:rPr>
          <w:rFonts w:ascii="新宋体" w:eastAsia="新宋体" w:hAnsi="新宋体" w:hint="eastAsia"/>
          <w:kern w:val="0"/>
          <w:sz w:val="21"/>
          <w:szCs w:val="21"/>
        </w:rPr>
        <w:t>水平。</w:t>
      </w:r>
    </w:p>
    <w:p w14:paraId="55499AF8" w14:textId="77777777" w:rsidR="00735BC7" w:rsidRPr="008F288D"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8F288D">
        <w:rPr>
          <w:rFonts w:ascii="新宋体" w:eastAsia="新宋体" w:hAnsi="新宋体" w:hint="eastAsia"/>
          <w:kern w:val="0"/>
          <w:sz w:val="21"/>
          <w:szCs w:val="21"/>
        </w:rPr>
        <w:t>具体检查内容：许可管理、人员卫生、场所环境、设施设备、加工场所、采购与存放、</w:t>
      </w:r>
      <w:proofErr w:type="gramStart"/>
      <w:r w:rsidRPr="008F288D">
        <w:rPr>
          <w:rFonts w:ascii="新宋体" w:eastAsia="新宋体" w:hAnsi="新宋体" w:hint="eastAsia"/>
          <w:kern w:val="0"/>
          <w:sz w:val="21"/>
          <w:szCs w:val="21"/>
        </w:rPr>
        <w:t>食品添加剂</w:t>
      </w:r>
      <w:proofErr w:type="gramEnd"/>
      <w:r w:rsidRPr="008F288D">
        <w:rPr>
          <w:rFonts w:ascii="新宋体" w:eastAsia="新宋体" w:hAnsi="新宋体" w:hint="eastAsia"/>
          <w:kern w:val="0"/>
          <w:sz w:val="21"/>
          <w:szCs w:val="21"/>
        </w:rPr>
        <w:t>管理、专门管理、餐具消毒、食品安全档案管理。</w:t>
      </w:r>
    </w:p>
    <w:p w14:paraId="03CAECA5" w14:textId="77777777" w:rsidR="00735BC7" w:rsidRPr="008F288D"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8F288D">
        <w:rPr>
          <w:rFonts w:ascii="新宋体" w:eastAsia="新宋体" w:hAnsi="新宋体" w:hint="eastAsia"/>
          <w:kern w:val="0"/>
          <w:sz w:val="21"/>
          <w:szCs w:val="21"/>
        </w:rPr>
        <w:t>1.1监管服务依据</w:t>
      </w:r>
    </w:p>
    <w:p w14:paraId="1AE53389" w14:textId="77777777" w:rsidR="00735BC7" w:rsidRPr="008F288D"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8F288D">
        <w:rPr>
          <w:rFonts w:ascii="新宋体" w:eastAsia="新宋体" w:hAnsi="新宋体" w:hint="eastAsia"/>
          <w:kern w:val="0"/>
          <w:sz w:val="21"/>
          <w:szCs w:val="21"/>
        </w:rPr>
        <w:t>《中华人民共和国食品安全法》、《广东省食品安全条例》、《深圳市餐饮单位食品安全量化检查标准》、《深圳市（A级）餐饮单位厨房建设标准》、《餐饮服务食品安全操作规范》等有关法律、法规、采购单位要求等。</w:t>
      </w:r>
    </w:p>
    <w:p w14:paraId="65F6CE15" w14:textId="77777777" w:rsidR="00735BC7" w:rsidRPr="005E0FC5"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5E0FC5">
        <w:rPr>
          <w:rFonts w:ascii="新宋体" w:eastAsia="新宋体" w:hAnsi="新宋体" w:hint="eastAsia"/>
          <w:kern w:val="0"/>
          <w:sz w:val="21"/>
          <w:szCs w:val="21"/>
        </w:rPr>
        <w:t>1.2监管服务次数</w:t>
      </w:r>
    </w:p>
    <w:p w14:paraId="484CE820" w14:textId="77777777" w:rsidR="00735BC7" w:rsidRPr="005E0FC5"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5E0FC5">
        <w:rPr>
          <w:rFonts w:ascii="新宋体" w:eastAsia="新宋体" w:hAnsi="新宋体" w:hint="eastAsia"/>
          <w:kern w:val="0"/>
          <w:sz w:val="21"/>
          <w:szCs w:val="21"/>
        </w:rPr>
        <w:t>服务期限内，8月、9月每月现场监管1次，下年10月至7月每月现场监管2次，共计22次。</w:t>
      </w:r>
    </w:p>
    <w:p w14:paraId="4971EE10" w14:textId="77777777" w:rsidR="00735BC7" w:rsidRPr="005E0FC5"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5E0FC5">
        <w:rPr>
          <w:rFonts w:ascii="新宋体" w:eastAsia="新宋体" w:hAnsi="新宋体" w:hint="eastAsia"/>
          <w:kern w:val="0"/>
          <w:sz w:val="21"/>
          <w:szCs w:val="21"/>
        </w:rPr>
        <w:t>1.3监管方式</w:t>
      </w:r>
    </w:p>
    <w:p w14:paraId="32C6BEDE" w14:textId="77777777" w:rsidR="00735BC7" w:rsidRPr="008F288D"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8F288D">
        <w:rPr>
          <w:rFonts w:ascii="新宋体" w:eastAsia="新宋体" w:hAnsi="新宋体" w:hint="eastAsia"/>
          <w:kern w:val="0"/>
          <w:sz w:val="21"/>
          <w:szCs w:val="21"/>
        </w:rPr>
        <w:lastRenderedPageBreak/>
        <w:t>按照《中华人民共和国食品安全法》、《深圳市餐饮服务食品安全量化检查表》及</w:t>
      </w:r>
      <w:proofErr w:type="gramStart"/>
      <w:r w:rsidRPr="008F288D">
        <w:rPr>
          <w:rFonts w:ascii="新宋体" w:eastAsia="新宋体" w:hAnsi="新宋体" w:hint="eastAsia"/>
          <w:kern w:val="0"/>
          <w:sz w:val="21"/>
          <w:szCs w:val="21"/>
        </w:rPr>
        <w:t>相关法律</w:t>
      </w:r>
      <w:proofErr w:type="gramEnd"/>
      <w:r w:rsidRPr="008F288D">
        <w:rPr>
          <w:rFonts w:ascii="新宋体" w:eastAsia="新宋体" w:hAnsi="新宋体" w:hint="eastAsia"/>
          <w:kern w:val="0"/>
          <w:sz w:val="21"/>
          <w:szCs w:val="21"/>
        </w:rPr>
        <w:t>法规要求对单位食堂实施现场监管、文件资料审阅，识别食堂经营过程中存在的食品安全风险，并开具意见书，意见书由检查人员及食堂管理人员代表签字确认。</w:t>
      </w:r>
    </w:p>
    <w:p w14:paraId="0D952970" w14:textId="77777777" w:rsidR="00735BC7" w:rsidRPr="008F288D"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8F288D">
        <w:rPr>
          <w:rFonts w:ascii="新宋体" w:eastAsia="新宋体" w:hAnsi="新宋体" w:hint="eastAsia"/>
          <w:kern w:val="0"/>
          <w:sz w:val="21"/>
          <w:szCs w:val="21"/>
        </w:rPr>
        <w:t>1.4监管服务人员要求</w:t>
      </w:r>
    </w:p>
    <w:p w14:paraId="2E63588C" w14:textId="77777777" w:rsidR="00735BC7" w:rsidRPr="008F288D"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8F288D">
        <w:rPr>
          <w:rFonts w:ascii="新宋体" w:eastAsia="新宋体" w:hAnsi="新宋体" w:hint="eastAsia"/>
          <w:kern w:val="0"/>
          <w:sz w:val="21"/>
          <w:szCs w:val="21"/>
        </w:rPr>
        <w:t>现场服务人员均应取得身体健康证明或每年参加单位统一体检且身体健康状况良好。为保障服务质量，项目服务人员相对固定，配戴工作证。项目负责人作为与委托方主要沟通人员，负责日常沟通、监管总结汇报等。</w:t>
      </w:r>
    </w:p>
    <w:p w14:paraId="3448C8CE" w14:textId="77777777" w:rsidR="00735BC7" w:rsidRPr="008F288D"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8F288D">
        <w:rPr>
          <w:rFonts w:ascii="新宋体" w:eastAsia="新宋体" w:hAnsi="新宋体" w:hint="eastAsia"/>
          <w:kern w:val="0"/>
          <w:sz w:val="21"/>
          <w:szCs w:val="21"/>
        </w:rPr>
        <w:t>1.5监管结果汇总</w:t>
      </w:r>
    </w:p>
    <w:p w14:paraId="674C476C" w14:textId="77777777" w:rsidR="00735BC7"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8F288D">
        <w:rPr>
          <w:rFonts w:ascii="新宋体" w:eastAsia="新宋体" w:hAnsi="新宋体" w:hint="eastAsia"/>
          <w:kern w:val="0"/>
          <w:sz w:val="21"/>
          <w:szCs w:val="21"/>
        </w:rPr>
        <w:t>针对每月的监管情况，每月月底形成书面的监管服务</w:t>
      </w:r>
      <w:r>
        <w:rPr>
          <w:rFonts w:ascii="新宋体" w:eastAsia="新宋体" w:hAnsi="新宋体" w:hint="eastAsia"/>
          <w:kern w:val="0"/>
          <w:sz w:val="21"/>
          <w:szCs w:val="21"/>
        </w:rPr>
        <w:t>总结报告上报委托方。</w:t>
      </w:r>
    </w:p>
    <w:p w14:paraId="745CEA19" w14:textId="77777777" w:rsidR="00735BC7" w:rsidRPr="005E0FC5" w:rsidRDefault="00735BC7" w:rsidP="00735BC7">
      <w:pPr>
        <w:pStyle w:val="3"/>
        <w:tabs>
          <w:tab w:val="left" w:pos="709"/>
        </w:tabs>
        <w:topLinePunct/>
        <w:spacing w:line="400" w:lineRule="exact"/>
        <w:ind w:firstLineChars="200" w:firstLine="420"/>
        <w:rPr>
          <w:kern w:val="0"/>
          <w:sz w:val="21"/>
          <w:szCs w:val="21"/>
        </w:rPr>
      </w:pPr>
      <w:r w:rsidRPr="00492662">
        <w:rPr>
          <w:rFonts w:hint="eastAsia"/>
          <w:kern w:val="0"/>
          <w:sz w:val="21"/>
          <w:szCs w:val="21"/>
        </w:rPr>
        <w:t xml:space="preserve">2. </w:t>
      </w:r>
      <w:r w:rsidRPr="005E0FC5">
        <w:rPr>
          <w:rFonts w:hint="eastAsia"/>
          <w:kern w:val="0"/>
          <w:sz w:val="21"/>
          <w:szCs w:val="21"/>
        </w:rPr>
        <w:t>食品原料、餐具快速检验及餐饮成品定量检测</w:t>
      </w:r>
    </w:p>
    <w:p w14:paraId="2B8DC88E" w14:textId="77777777" w:rsidR="00735BC7" w:rsidRPr="005E0FC5" w:rsidRDefault="00735BC7" w:rsidP="00735BC7">
      <w:pPr>
        <w:pStyle w:val="3"/>
        <w:tabs>
          <w:tab w:val="left" w:pos="709"/>
        </w:tabs>
        <w:topLinePunct/>
        <w:spacing w:line="400" w:lineRule="exact"/>
        <w:ind w:firstLineChars="200" w:firstLine="420"/>
        <w:rPr>
          <w:kern w:val="0"/>
          <w:sz w:val="21"/>
          <w:szCs w:val="21"/>
        </w:rPr>
      </w:pPr>
      <w:r w:rsidRPr="005E0FC5">
        <w:rPr>
          <w:rFonts w:hint="eastAsia"/>
          <w:kern w:val="0"/>
          <w:sz w:val="21"/>
          <w:szCs w:val="21"/>
        </w:rPr>
        <w:t>在项目服务期间，检查人员每次开展现场监管时，在采购单位原料库或加工环节抽取蔬菜、肉、食用油、大米及干货等大宗食品原料及餐具进行快速检测，食品成品进行定量检测。每次抽取样品数量为</w:t>
      </w:r>
      <w:r w:rsidRPr="005E0FC5">
        <w:rPr>
          <w:kern w:val="0"/>
          <w:sz w:val="21"/>
          <w:szCs w:val="21"/>
        </w:rPr>
        <w:t>5</w:t>
      </w:r>
      <w:r w:rsidRPr="005E0FC5">
        <w:rPr>
          <w:rFonts w:hint="eastAsia"/>
          <w:kern w:val="0"/>
          <w:sz w:val="21"/>
          <w:szCs w:val="21"/>
        </w:rPr>
        <w:t>样次（</w:t>
      </w:r>
      <w:proofErr w:type="gramStart"/>
      <w:r w:rsidRPr="005E0FC5">
        <w:rPr>
          <w:rFonts w:hint="eastAsia"/>
          <w:kern w:val="0"/>
          <w:sz w:val="21"/>
          <w:szCs w:val="21"/>
        </w:rPr>
        <w:t>含食品</w:t>
      </w:r>
      <w:proofErr w:type="gramEnd"/>
      <w:r w:rsidRPr="005E0FC5">
        <w:rPr>
          <w:rFonts w:hint="eastAsia"/>
          <w:kern w:val="0"/>
          <w:sz w:val="21"/>
          <w:szCs w:val="21"/>
        </w:rPr>
        <w:t>成品定量检测），并及时将快速检验结果反馈深圳市检察院。当样品检测结果呈现阳性的，马上安排销毁，必要时由深圳市人民检察院决定是否开展定量检测，费用根据检测项目另行结算。</w:t>
      </w:r>
    </w:p>
    <w:tbl>
      <w:tblPr>
        <w:tblW w:w="8617" w:type="dxa"/>
        <w:jc w:val="center"/>
        <w:tblCellMar>
          <w:top w:w="15" w:type="dxa"/>
          <w:left w:w="15" w:type="dxa"/>
          <w:bottom w:w="15" w:type="dxa"/>
          <w:right w:w="15" w:type="dxa"/>
        </w:tblCellMar>
        <w:tblLook w:val="04A0" w:firstRow="1" w:lastRow="0" w:firstColumn="1" w:lastColumn="0" w:noHBand="0" w:noVBand="1"/>
      </w:tblPr>
      <w:tblGrid>
        <w:gridCol w:w="766"/>
        <w:gridCol w:w="1134"/>
        <w:gridCol w:w="3260"/>
        <w:gridCol w:w="1843"/>
        <w:gridCol w:w="1614"/>
      </w:tblGrid>
      <w:tr w:rsidR="00735BC7" w:rsidRPr="005E0FC5" w14:paraId="5A18A7C3" w14:textId="77777777" w:rsidTr="00F97F57">
        <w:trPr>
          <w:trHeight w:val="430"/>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7953B2A5" w14:textId="77777777" w:rsidR="00735BC7" w:rsidRPr="005E0FC5" w:rsidRDefault="00735BC7" w:rsidP="00F97F57">
            <w:pPr>
              <w:jc w:val="center"/>
              <w:textAlignment w:val="center"/>
              <w:rPr>
                <w:rFonts w:ascii="宋体" w:hAnsi="宋体" w:cs="宋体"/>
                <w:b/>
                <w:color w:val="000000"/>
                <w:szCs w:val="21"/>
              </w:rPr>
            </w:pPr>
            <w:r w:rsidRPr="005E0FC5">
              <w:rPr>
                <w:rFonts w:ascii="宋体" w:hAnsi="宋体" w:cs="宋体" w:hint="eastAsia"/>
                <w:b/>
                <w:color w:val="000000"/>
                <w:szCs w:val="21"/>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1AF95396" w14:textId="77777777" w:rsidR="00735BC7" w:rsidRPr="005E0FC5" w:rsidRDefault="00735BC7" w:rsidP="00F97F57">
            <w:pPr>
              <w:jc w:val="center"/>
              <w:textAlignment w:val="center"/>
              <w:rPr>
                <w:rFonts w:ascii="宋体" w:hAnsi="宋体" w:cs="宋体"/>
                <w:b/>
                <w:color w:val="000000"/>
                <w:szCs w:val="21"/>
              </w:rPr>
            </w:pPr>
            <w:r w:rsidRPr="005E0FC5">
              <w:rPr>
                <w:rFonts w:ascii="宋体" w:hAnsi="宋体" w:cs="宋体" w:hint="eastAsia"/>
                <w:b/>
                <w:color w:val="000000"/>
                <w:szCs w:val="21"/>
              </w:rPr>
              <w:t>抽检品种</w:t>
            </w:r>
          </w:p>
        </w:tc>
        <w:tc>
          <w:tcPr>
            <w:tcW w:w="3260" w:type="dxa"/>
            <w:tcBorders>
              <w:top w:val="single" w:sz="4" w:space="0" w:color="000000"/>
              <w:left w:val="single" w:sz="4" w:space="0" w:color="000000"/>
              <w:bottom w:val="single" w:sz="4" w:space="0" w:color="auto"/>
              <w:right w:val="single" w:sz="4" w:space="0" w:color="000000"/>
            </w:tcBorders>
            <w:vAlign w:val="center"/>
          </w:tcPr>
          <w:p w14:paraId="6A086DD8" w14:textId="77777777" w:rsidR="00735BC7" w:rsidRPr="005E0FC5" w:rsidRDefault="00735BC7" w:rsidP="00F97F57">
            <w:pPr>
              <w:jc w:val="center"/>
              <w:textAlignment w:val="center"/>
              <w:rPr>
                <w:rFonts w:ascii="宋体" w:hAnsi="宋体" w:cs="宋体"/>
                <w:b/>
                <w:color w:val="000000"/>
                <w:szCs w:val="21"/>
              </w:rPr>
            </w:pPr>
            <w:r w:rsidRPr="005E0FC5">
              <w:rPr>
                <w:rFonts w:ascii="宋体" w:hAnsi="宋体" w:cs="宋体" w:hint="eastAsia"/>
                <w:b/>
                <w:color w:val="000000"/>
                <w:szCs w:val="21"/>
              </w:rPr>
              <w:t>检测项目</w:t>
            </w:r>
          </w:p>
        </w:tc>
        <w:tc>
          <w:tcPr>
            <w:tcW w:w="1843" w:type="dxa"/>
            <w:tcBorders>
              <w:top w:val="single" w:sz="4" w:space="0" w:color="000000"/>
              <w:left w:val="single" w:sz="4" w:space="0" w:color="000000"/>
              <w:bottom w:val="single" w:sz="4" w:space="0" w:color="auto"/>
              <w:right w:val="single" w:sz="4" w:space="0" w:color="000000"/>
            </w:tcBorders>
            <w:vAlign w:val="center"/>
          </w:tcPr>
          <w:p w14:paraId="606AD4D4" w14:textId="77777777" w:rsidR="00735BC7" w:rsidRPr="005E0FC5" w:rsidRDefault="00735BC7" w:rsidP="00F97F57">
            <w:pPr>
              <w:jc w:val="center"/>
              <w:textAlignment w:val="center"/>
              <w:rPr>
                <w:rFonts w:ascii="宋体" w:hAnsi="宋体" w:cs="宋体"/>
                <w:b/>
                <w:color w:val="000000"/>
                <w:szCs w:val="21"/>
              </w:rPr>
            </w:pPr>
            <w:r w:rsidRPr="005E0FC5">
              <w:rPr>
                <w:rFonts w:ascii="宋体" w:hAnsi="宋体" w:cs="宋体" w:hint="eastAsia"/>
                <w:b/>
                <w:color w:val="000000"/>
                <w:szCs w:val="21"/>
              </w:rPr>
              <w:t>抽取次数</w:t>
            </w:r>
          </w:p>
        </w:tc>
        <w:tc>
          <w:tcPr>
            <w:tcW w:w="1614" w:type="dxa"/>
            <w:tcBorders>
              <w:top w:val="single" w:sz="4" w:space="0" w:color="000000"/>
              <w:left w:val="single" w:sz="4" w:space="0" w:color="000000"/>
              <w:bottom w:val="single" w:sz="4" w:space="0" w:color="auto"/>
              <w:right w:val="single" w:sz="4" w:space="0" w:color="000000"/>
            </w:tcBorders>
            <w:vAlign w:val="center"/>
          </w:tcPr>
          <w:p w14:paraId="7D73AF4A" w14:textId="77777777" w:rsidR="00735BC7" w:rsidRPr="005E0FC5" w:rsidRDefault="00735BC7" w:rsidP="00F97F57">
            <w:pPr>
              <w:jc w:val="center"/>
              <w:textAlignment w:val="center"/>
              <w:rPr>
                <w:rFonts w:ascii="宋体" w:hAnsi="宋体" w:cs="宋体"/>
                <w:b/>
                <w:color w:val="000000"/>
                <w:szCs w:val="21"/>
              </w:rPr>
            </w:pPr>
            <w:r w:rsidRPr="005E0FC5">
              <w:rPr>
                <w:rFonts w:ascii="宋体" w:hAnsi="宋体" w:cs="宋体" w:hint="eastAsia"/>
                <w:b/>
                <w:color w:val="000000"/>
                <w:szCs w:val="21"/>
              </w:rPr>
              <w:t>备注</w:t>
            </w:r>
          </w:p>
        </w:tc>
      </w:tr>
      <w:tr w:rsidR="00735BC7" w:rsidRPr="005E0FC5" w14:paraId="5042FE57" w14:textId="77777777" w:rsidTr="00F97F57">
        <w:trPr>
          <w:trHeight w:val="430"/>
          <w:jc w:val="center"/>
        </w:trPr>
        <w:tc>
          <w:tcPr>
            <w:tcW w:w="766" w:type="dxa"/>
            <w:tcBorders>
              <w:top w:val="single" w:sz="4" w:space="0" w:color="000000"/>
              <w:left w:val="single" w:sz="4" w:space="0" w:color="000000"/>
              <w:right w:val="single" w:sz="4" w:space="0" w:color="000000"/>
            </w:tcBorders>
            <w:vAlign w:val="center"/>
          </w:tcPr>
          <w:p w14:paraId="7EE8C3AB"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1</w:t>
            </w:r>
          </w:p>
        </w:tc>
        <w:tc>
          <w:tcPr>
            <w:tcW w:w="1134" w:type="dxa"/>
            <w:tcBorders>
              <w:top w:val="single" w:sz="4" w:space="0" w:color="000000"/>
              <w:left w:val="single" w:sz="4" w:space="0" w:color="000000"/>
              <w:right w:val="single" w:sz="4" w:space="0" w:color="000000"/>
            </w:tcBorders>
            <w:vAlign w:val="center"/>
          </w:tcPr>
          <w:p w14:paraId="42A78389"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仿宋_GB2312" w:hint="eastAsia"/>
                <w:szCs w:val="21"/>
              </w:rPr>
              <w:t>蔬菜</w:t>
            </w:r>
          </w:p>
        </w:tc>
        <w:tc>
          <w:tcPr>
            <w:tcW w:w="3260" w:type="dxa"/>
            <w:tcBorders>
              <w:top w:val="single" w:sz="4" w:space="0" w:color="000000"/>
              <w:left w:val="single" w:sz="4" w:space="0" w:color="000000"/>
              <w:right w:val="single" w:sz="4" w:space="0" w:color="000000"/>
            </w:tcBorders>
            <w:vAlign w:val="center"/>
          </w:tcPr>
          <w:p w14:paraId="2F6E07E5" w14:textId="77777777" w:rsidR="00735BC7" w:rsidRPr="005E0FC5" w:rsidRDefault="00735BC7" w:rsidP="00F97F57">
            <w:pPr>
              <w:jc w:val="center"/>
              <w:textAlignment w:val="center"/>
              <w:rPr>
                <w:rFonts w:ascii="宋体" w:hAnsi="宋体" w:cs="宋体"/>
                <w:color w:val="000000"/>
                <w:szCs w:val="21"/>
              </w:rPr>
            </w:pPr>
            <w:proofErr w:type="gramStart"/>
            <w:r w:rsidRPr="005E0FC5">
              <w:rPr>
                <w:rFonts w:ascii="宋体" w:hAnsi="宋体" w:cs="仿宋_GB2312" w:hint="eastAsia"/>
                <w:szCs w:val="21"/>
              </w:rPr>
              <w:t>农药残留</w:t>
            </w:r>
            <w:proofErr w:type="gramEnd"/>
            <w:r w:rsidRPr="005E0FC5">
              <w:rPr>
                <w:rFonts w:ascii="宋体" w:hAnsi="宋体" w:cs="仿宋_GB2312" w:hint="eastAsia"/>
                <w:szCs w:val="21"/>
              </w:rPr>
              <w:t>（</w:t>
            </w:r>
            <w:proofErr w:type="gramStart"/>
            <w:r w:rsidRPr="005E0FC5">
              <w:rPr>
                <w:rFonts w:ascii="宋体" w:hAnsi="宋体" w:cs="仿宋_GB2312" w:hint="eastAsia"/>
                <w:szCs w:val="21"/>
              </w:rPr>
              <w:t>有机磷和氨基</w:t>
            </w:r>
            <w:proofErr w:type="gramEnd"/>
            <w:r w:rsidRPr="005E0FC5">
              <w:rPr>
                <w:rFonts w:ascii="宋体" w:hAnsi="宋体" w:cs="仿宋_GB2312" w:hint="eastAsia"/>
                <w:szCs w:val="21"/>
              </w:rPr>
              <w:t>甲酸酯类）</w:t>
            </w:r>
          </w:p>
        </w:tc>
        <w:tc>
          <w:tcPr>
            <w:tcW w:w="1843" w:type="dxa"/>
            <w:vMerge w:val="restart"/>
            <w:tcBorders>
              <w:top w:val="single" w:sz="4" w:space="0" w:color="000000"/>
              <w:left w:val="single" w:sz="4" w:space="0" w:color="000000"/>
              <w:right w:val="single" w:sz="4" w:space="0" w:color="000000"/>
            </w:tcBorders>
            <w:vAlign w:val="center"/>
          </w:tcPr>
          <w:p w14:paraId="2B31AFF6" w14:textId="77777777" w:rsidR="00735BC7" w:rsidRPr="005E0FC5" w:rsidRDefault="00735BC7" w:rsidP="00F97F57">
            <w:pPr>
              <w:jc w:val="center"/>
              <w:textAlignment w:val="center"/>
              <w:rPr>
                <w:rFonts w:ascii="宋体" w:hAnsi="宋体" w:cs="仿宋_GB2312"/>
                <w:szCs w:val="21"/>
              </w:rPr>
            </w:pPr>
            <w:r w:rsidRPr="005E0FC5">
              <w:rPr>
                <w:rFonts w:hint="eastAsia"/>
                <w:kern w:val="0"/>
                <w:szCs w:val="21"/>
              </w:rPr>
              <w:t>共计</w:t>
            </w:r>
            <w:r w:rsidRPr="005E0FC5">
              <w:rPr>
                <w:rFonts w:hint="eastAsia"/>
                <w:kern w:val="0"/>
                <w:szCs w:val="21"/>
              </w:rPr>
              <w:t>22</w:t>
            </w:r>
            <w:r w:rsidRPr="005E0FC5">
              <w:rPr>
                <w:rFonts w:hint="eastAsia"/>
                <w:kern w:val="0"/>
                <w:szCs w:val="21"/>
              </w:rPr>
              <w:t>次现场监管，每次抽取</w:t>
            </w:r>
            <w:r w:rsidRPr="005E0FC5">
              <w:rPr>
                <w:rFonts w:hint="eastAsia"/>
                <w:kern w:val="0"/>
                <w:szCs w:val="21"/>
              </w:rPr>
              <w:t>7</w:t>
            </w:r>
            <w:r w:rsidRPr="005E0FC5">
              <w:rPr>
                <w:rFonts w:hint="eastAsia"/>
                <w:kern w:val="0"/>
                <w:szCs w:val="21"/>
              </w:rPr>
              <w:t>个品种中任意</w:t>
            </w:r>
            <w:r w:rsidRPr="005E0FC5">
              <w:rPr>
                <w:rFonts w:hint="eastAsia"/>
                <w:kern w:val="0"/>
                <w:szCs w:val="21"/>
              </w:rPr>
              <w:t>5</w:t>
            </w:r>
            <w:r w:rsidRPr="005E0FC5">
              <w:rPr>
                <w:rFonts w:hint="eastAsia"/>
                <w:kern w:val="0"/>
                <w:szCs w:val="21"/>
              </w:rPr>
              <w:t>种样品进行检测。</w:t>
            </w:r>
          </w:p>
          <w:p w14:paraId="2C384D0E"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其中餐具每季度一次，食品成品</w:t>
            </w:r>
          </w:p>
          <w:p w14:paraId="06F0E004" w14:textId="77777777" w:rsidR="00735BC7" w:rsidRPr="005E0FC5" w:rsidRDefault="00735BC7" w:rsidP="00F97F57">
            <w:pPr>
              <w:jc w:val="center"/>
              <w:textAlignment w:val="center"/>
              <w:rPr>
                <w:rFonts w:ascii="宋体" w:hAnsi="宋体" w:cs="仿宋_GB2312"/>
                <w:szCs w:val="21"/>
              </w:rPr>
            </w:pPr>
            <w:r w:rsidRPr="005E0FC5">
              <w:rPr>
                <w:rFonts w:ascii="宋体" w:hAnsi="宋体" w:cs="宋体" w:hint="eastAsia"/>
                <w:color w:val="000000"/>
                <w:szCs w:val="21"/>
              </w:rPr>
              <w:t>每半年一次。</w:t>
            </w:r>
          </w:p>
        </w:tc>
        <w:tc>
          <w:tcPr>
            <w:tcW w:w="1614" w:type="dxa"/>
            <w:vMerge w:val="restart"/>
            <w:tcBorders>
              <w:top w:val="single" w:sz="4" w:space="0" w:color="000000"/>
              <w:left w:val="single" w:sz="4" w:space="0" w:color="000000"/>
              <w:bottom w:val="single" w:sz="4" w:space="0" w:color="auto"/>
              <w:right w:val="single" w:sz="4" w:space="0" w:color="000000"/>
            </w:tcBorders>
            <w:vAlign w:val="center"/>
          </w:tcPr>
          <w:p w14:paraId="61CEA955" w14:textId="77777777" w:rsidR="00735BC7" w:rsidRPr="005E0FC5" w:rsidRDefault="00735BC7" w:rsidP="00F97F57">
            <w:pPr>
              <w:jc w:val="center"/>
              <w:textAlignment w:val="center"/>
              <w:rPr>
                <w:rFonts w:ascii="宋体" w:hAnsi="宋体" w:cs="宋体"/>
                <w:color w:val="000000"/>
                <w:szCs w:val="21"/>
              </w:rPr>
            </w:pPr>
            <w:proofErr w:type="gramStart"/>
            <w:r w:rsidRPr="005E0FC5">
              <w:rPr>
                <w:rFonts w:hint="eastAsia"/>
                <w:kern w:val="0"/>
                <w:szCs w:val="21"/>
              </w:rPr>
              <w:t>每个样次只做</w:t>
            </w:r>
            <w:proofErr w:type="gramEnd"/>
            <w:r w:rsidRPr="005E0FC5">
              <w:rPr>
                <w:rFonts w:hint="eastAsia"/>
                <w:kern w:val="0"/>
                <w:szCs w:val="21"/>
              </w:rPr>
              <w:t>一个检测项目。</w:t>
            </w:r>
            <w:proofErr w:type="gramStart"/>
            <w:r w:rsidRPr="005E0FC5">
              <w:rPr>
                <w:rFonts w:hint="eastAsia"/>
                <w:kern w:val="0"/>
                <w:szCs w:val="21"/>
              </w:rPr>
              <w:t>如食材数量</w:t>
            </w:r>
            <w:proofErr w:type="gramEnd"/>
            <w:r w:rsidRPr="005E0FC5">
              <w:rPr>
                <w:rFonts w:hint="eastAsia"/>
                <w:kern w:val="0"/>
                <w:szCs w:val="21"/>
              </w:rPr>
              <w:t>不足，同一</w:t>
            </w:r>
            <w:proofErr w:type="gramStart"/>
            <w:r w:rsidRPr="005E0FC5">
              <w:rPr>
                <w:rFonts w:hint="eastAsia"/>
                <w:kern w:val="0"/>
                <w:szCs w:val="21"/>
              </w:rPr>
              <w:t>食材可以</w:t>
            </w:r>
            <w:proofErr w:type="gramEnd"/>
            <w:r w:rsidRPr="005E0FC5">
              <w:rPr>
                <w:rFonts w:hint="eastAsia"/>
                <w:kern w:val="0"/>
                <w:szCs w:val="21"/>
              </w:rPr>
              <w:t>做多个项目，但每次不超过</w:t>
            </w:r>
            <w:r w:rsidRPr="005E0FC5">
              <w:rPr>
                <w:rFonts w:hint="eastAsia"/>
                <w:kern w:val="0"/>
                <w:szCs w:val="21"/>
              </w:rPr>
              <w:t>5</w:t>
            </w:r>
            <w:r w:rsidRPr="005E0FC5">
              <w:rPr>
                <w:rFonts w:hint="eastAsia"/>
                <w:kern w:val="0"/>
                <w:szCs w:val="21"/>
              </w:rPr>
              <w:t>项次，总计不超过</w:t>
            </w:r>
            <w:r w:rsidRPr="005E0FC5">
              <w:rPr>
                <w:rFonts w:hint="eastAsia"/>
                <w:kern w:val="0"/>
                <w:szCs w:val="21"/>
              </w:rPr>
              <w:t>110</w:t>
            </w:r>
          </w:p>
        </w:tc>
      </w:tr>
      <w:tr w:rsidR="00735BC7" w:rsidRPr="005E0FC5" w14:paraId="2951629F" w14:textId="77777777" w:rsidTr="00F97F57">
        <w:trPr>
          <w:trHeight w:val="430"/>
          <w:jc w:val="center"/>
        </w:trPr>
        <w:tc>
          <w:tcPr>
            <w:tcW w:w="766" w:type="dxa"/>
            <w:tcBorders>
              <w:top w:val="single" w:sz="4" w:space="0" w:color="000000"/>
              <w:left w:val="single" w:sz="4" w:space="0" w:color="000000"/>
              <w:right w:val="single" w:sz="4" w:space="0" w:color="000000"/>
            </w:tcBorders>
            <w:vAlign w:val="center"/>
          </w:tcPr>
          <w:p w14:paraId="35242EFD"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2</w:t>
            </w:r>
          </w:p>
        </w:tc>
        <w:tc>
          <w:tcPr>
            <w:tcW w:w="1134" w:type="dxa"/>
            <w:tcBorders>
              <w:top w:val="single" w:sz="4" w:space="0" w:color="000000"/>
              <w:left w:val="single" w:sz="4" w:space="0" w:color="000000"/>
              <w:right w:val="single" w:sz="4" w:space="0" w:color="000000"/>
            </w:tcBorders>
            <w:vAlign w:val="center"/>
          </w:tcPr>
          <w:p w14:paraId="482B8284" w14:textId="77777777" w:rsidR="00735BC7" w:rsidRPr="005E0FC5" w:rsidRDefault="00735BC7" w:rsidP="00F97F57">
            <w:pPr>
              <w:jc w:val="center"/>
              <w:textAlignment w:val="center"/>
              <w:rPr>
                <w:rFonts w:ascii="宋体" w:hAnsi="宋体" w:cs="仿宋_GB2312"/>
                <w:szCs w:val="21"/>
              </w:rPr>
            </w:pPr>
            <w:r w:rsidRPr="005E0FC5">
              <w:rPr>
                <w:rFonts w:ascii="宋体" w:hAnsi="宋体" w:cs="仿宋_GB2312" w:hint="eastAsia"/>
                <w:szCs w:val="21"/>
              </w:rPr>
              <w:t>畜禽肉</w:t>
            </w:r>
          </w:p>
        </w:tc>
        <w:tc>
          <w:tcPr>
            <w:tcW w:w="3260" w:type="dxa"/>
            <w:tcBorders>
              <w:top w:val="single" w:sz="4" w:space="0" w:color="000000"/>
              <w:left w:val="single" w:sz="4" w:space="0" w:color="000000"/>
              <w:right w:val="single" w:sz="4" w:space="0" w:color="000000"/>
            </w:tcBorders>
            <w:vAlign w:val="center"/>
          </w:tcPr>
          <w:p w14:paraId="483ADD4A"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szCs w:val="21"/>
                <w:lang w:val="zh-CN"/>
              </w:rPr>
              <w:t>盐酸克伦特罗、莱克多巴胺、</w:t>
            </w:r>
            <w:r w:rsidRPr="005E0FC5">
              <w:rPr>
                <w:rFonts w:ascii="宋体" w:hAnsi="宋体" w:cs="仿宋_GB2312" w:hint="eastAsia"/>
                <w:bCs/>
                <w:szCs w:val="21"/>
              </w:rPr>
              <w:t>氯霉素、</w:t>
            </w:r>
            <w:r w:rsidRPr="005E0FC5">
              <w:rPr>
                <w:rFonts w:ascii="宋体" w:hAnsi="宋体" w:cs="仿宋_GB2312" w:hint="eastAsia"/>
                <w:bCs/>
                <w:szCs w:val="21"/>
                <w:lang w:val="zh-CN"/>
              </w:rPr>
              <w:t>呋喃西林</w:t>
            </w:r>
            <w:proofErr w:type="gramStart"/>
            <w:r w:rsidRPr="005E0FC5">
              <w:rPr>
                <w:rFonts w:ascii="宋体" w:hAnsi="宋体" w:cs="仿宋_GB2312" w:hint="eastAsia"/>
                <w:bCs/>
                <w:szCs w:val="21"/>
                <w:lang w:val="zh-CN"/>
              </w:rPr>
              <w:t>代谢物</w:t>
            </w:r>
            <w:proofErr w:type="gramEnd"/>
            <w:r w:rsidRPr="005E0FC5">
              <w:rPr>
                <w:rFonts w:ascii="宋体" w:hAnsi="宋体" w:cs="仿宋_GB2312" w:hint="eastAsia"/>
                <w:bCs/>
                <w:szCs w:val="21"/>
                <w:lang w:val="zh-CN"/>
              </w:rPr>
              <w:t>、</w:t>
            </w:r>
            <w:r w:rsidRPr="005E0FC5">
              <w:rPr>
                <w:rFonts w:ascii="宋体" w:hAnsi="宋体" w:cs="仿宋_GB2312" w:hint="eastAsia"/>
                <w:bCs/>
                <w:szCs w:val="21"/>
              </w:rPr>
              <w:t>呋喃</w:t>
            </w:r>
            <w:proofErr w:type="gramStart"/>
            <w:r w:rsidRPr="005E0FC5">
              <w:rPr>
                <w:rFonts w:ascii="宋体" w:hAnsi="宋体" w:cs="仿宋_GB2312" w:hint="eastAsia"/>
                <w:bCs/>
                <w:szCs w:val="21"/>
              </w:rPr>
              <w:t>唑酮代谢物</w:t>
            </w:r>
            <w:proofErr w:type="gramEnd"/>
          </w:p>
        </w:tc>
        <w:tc>
          <w:tcPr>
            <w:tcW w:w="1843" w:type="dxa"/>
            <w:vMerge/>
            <w:tcBorders>
              <w:left w:val="single" w:sz="4" w:space="0" w:color="000000"/>
              <w:right w:val="single" w:sz="4" w:space="0" w:color="000000"/>
            </w:tcBorders>
            <w:vAlign w:val="center"/>
          </w:tcPr>
          <w:p w14:paraId="154849D6" w14:textId="77777777" w:rsidR="00735BC7" w:rsidRPr="005E0FC5" w:rsidRDefault="00735BC7" w:rsidP="00F97F57">
            <w:pPr>
              <w:jc w:val="center"/>
              <w:textAlignment w:val="center"/>
              <w:rPr>
                <w:rFonts w:ascii="宋体" w:hAnsi="宋体" w:cs="宋体"/>
                <w:szCs w:val="21"/>
                <w:lang w:val="zh-CN"/>
              </w:rPr>
            </w:pPr>
          </w:p>
        </w:tc>
        <w:tc>
          <w:tcPr>
            <w:tcW w:w="1614" w:type="dxa"/>
            <w:vMerge/>
            <w:tcBorders>
              <w:left w:val="single" w:sz="4" w:space="0" w:color="000000"/>
              <w:bottom w:val="single" w:sz="4" w:space="0" w:color="auto"/>
              <w:right w:val="single" w:sz="4" w:space="0" w:color="000000"/>
            </w:tcBorders>
            <w:vAlign w:val="center"/>
          </w:tcPr>
          <w:p w14:paraId="11454414" w14:textId="77777777" w:rsidR="00735BC7" w:rsidRPr="005E0FC5" w:rsidRDefault="00735BC7" w:rsidP="00F97F57">
            <w:pPr>
              <w:jc w:val="center"/>
              <w:textAlignment w:val="center"/>
              <w:rPr>
                <w:rFonts w:ascii="宋体" w:hAnsi="宋体" w:cs="宋体"/>
                <w:color w:val="000000"/>
                <w:szCs w:val="21"/>
              </w:rPr>
            </w:pPr>
          </w:p>
        </w:tc>
      </w:tr>
      <w:tr w:rsidR="00735BC7" w:rsidRPr="005E0FC5" w14:paraId="2F81284E" w14:textId="77777777" w:rsidTr="00F97F57">
        <w:trPr>
          <w:trHeight w:val="430"/>
          <w:jc w:val="center"/>
        </w:trPr>
        <w:tc>
          <w:tcPr>
            <w:tcW w:w="766" w:type="dxa"/>
            <w:tcBorders>
              <w:top w:val="single" w:sz="4" w:space="0" w:color="000000"/>
              <w:left w:val="single" w:sz="4" w:space="0" w:color="000000"/>
              <w:right w:val="single" w:sz="4" w:space="0" w:color="000000"/>
            </w:tcBorders>
            <w:vAlign w:val="center"/>
          </w:tcPr>
          <w:p w14:paraId="32413FCF"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3</w:t>
            </w:r>
          </w:p>
        </w:tc>
        <w:tc>
          <w:tcPr>
            <w:tcW w:w="1134" w:type="dxa"/>
            <w:tcBorders>
              <w:top w:val="single" w:sz="4" w:space="0" w:color="000000"/>
              <w:left w:val="single" w:sz="4" w:space="0" w:color="000000"/>
              <w:right w:val="single" w:sz="4" w:space="0" w:color="000000"/>
            </w:tcBorders>
            <w:vAlign w:val="center"/>
          </w:tcPr>
          <w:p w14:paraId="0C39BE12" w14:textId="77777777" w:rsidR="00735BC7" w:rsidRPr="005E0FC5" w:rsidRDefault="00735BC7" w:rsidP="00F97F57">
            <w:pPr>
              <w:jc w:val="center"/>
              <w:textAlignment w:val="center"/>
              <w:rPr>
                <w:rFonts w:ascii="宋体" w:hAnsi="宋体" w:cs="仿宋_GB2312"/>
                <w:szCs w:val="21"/>
              </w:rPr>
            </w:pPr>
            <w:r w:rsidRPr="005E0FC5">
              <w:rPr>
                <w:rFonts w:ascii="宋体" w:hAnsi="宋体" w:cs="宋体" w:hint="eastAsia"/>
                <w:color w:val="000000"/>
                <w:szCs w:val="21"/>
              </w:rPr>
              <w:t>食用油</w:t>
            </w:r>
          </w:p>
        </w:tc>
        <w:tc>
          <w:tcPr>
            <w:tcW w:w="3260" w:type="dxa"/>
            <w:tcBorders>
              <w:top w:val="single" w:sz="4" w:space="0" w:color="000000"/>
              <w:left w:val="single" w:sz="4" w:space="0" w:color="000000"/>
              <w:right w:val="single" w:sz="4" w:space="0" w:color="000000"/>
            </w:tcBorders>
            <w:vAlign w:val="center"/>
          </w:tcPr>
          <w:p w14:paraId="1E3D7229"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过氧化值、酸价</w:t>
            </w:r>
          </w:p>
        </w:tc>
        <w:tc>
          <w:tcPr>
            <w:tcW w:w="1843" w:type="dxa"/>
            <w:vMerge/>
            <w:tcBorders>
              <w:left w:val="single" w:sz="4" w:space="0" w:color="000000"/>
              <w:right w:val="single" w:sz="4" w:space="0" w:color="000000"/>
            </w:tcBorders>
            <w:vAlign w:val="center"/>
          </w:tcPr>
          <w:p w14:paraId="36515C85" w14:textId="77777777" w:rsidR="00735BC7" w:rsidRPr="005E0FC5" w:rsidRDefault="00735BC7" w:rsidP="00F97F57">
            <w:pPr>
              <w:jc w:val="center"/>
              <w:textAlignment w:val="center"/>
              <w:rPr>
                <w:rFonts w:ascii="宋体" w:hAnsi="宋体" w:cs="宋体"/>
                <w:color w:val="000000"/>
                <w:szCs w:val="21"/>
              </w:rPr>
            </w:pPr>
          </w:p>
        </w:tc>
        <w:tc>
          <w:tcPr>
            <w:tcW w:w="1614" w:type="dxa"/>
            <w:vMerge/>
            <w:tcBorders>
              <w:left w:val="single" w:sz="4" w:space="0" w:color="000000"/>
              <w:bottom w:val="single" w:sz="4" w:space="0" w:color="auto"/>
              <w:right w:val="single" w:sz="4" w:space="0" w:color="000000"/>
            </w:tcBorders>
            <w:vAlign w:val="center"/>
          </w:tcPr>
          <w:p w14:paraId="6A573B0C" w14:textId="77777777" w:rsidR="00735BC7" w:rsidRPr="005E0FC5" w:rsidRDefault="00735BC7" w:rsidP="00F97F57">
            <w:pPr>
              <w:jc w:val="center"/>
              <w:textAlignment w:val="center"/>
              <w:rPr>
                <w:rFonts w:ascii="宋体" w:hAnsi="宋体" w:cs="宋体"/>
                <w:color w:val="000000"/>
                <w:szCs w:val="21"/>
              </w:rPr>
            </w:pPr>
          </w:p>
        </w:tc>
      </w:tr>
      <w:tr w:rsidR="00735BC7" w:rsidRPr="005E0FC5" w14:paraId="71D1F1AF" w14:textId="77777777" w:rsidTr="00F97F57">
        <w:trPr>
          <w:trHeight w:val="309"/>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08F4163A"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1705530A"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米制品（大米、小米等）</w:t>
            </w:r>
          </w:p>
        </w:tc>
        <w:tc>
          <w:tcPr>
            <w:tcW w:w="3260" w:type="dxa"/>
            <w:tcBorders>
              <w:top w:val="single" w:sz="4" w:space="0" w:color="000000"/>
              <w:left w:val="single" w:sz="4" w:space="0" w:color="000000"/>
              <w:bottom w:val="single" w:sz="4" w:space="0" w:color="000000"/>
              <w:right w:val="single" w:sz="4" w:space="0" w:color="000000"/>
            </w:tcBorders>
            <w:vAlign w:val="center"/>
          </w:tcPr>
          <w:p w14:paraId="424F614D" w14:textId="77777777" w:rsidR="00735BC7" w:rsidRPr="005E0FC5" w:rsidRDefault="00735BC7" w:rsidP="00F97F57">
            <w:pPr>
              <w:jc w:val="center"/>
              <w:textAlignment w:val="center"/>
              <w:rPr>
                <w:rFonts w:ascii="宋体" w:hAnsi="宋体" w:cs="宋体"/>
                <w:color w:val="000000"/>
                <w:szCs w:val="21"/>
              </w:rPr>
            </w:pPr>
            <w:proofErr w:type="gramStart"/>
            <w:r w:rsidRPr="005E0FC5">
              <w:rPr>
                <w:rFonts w:ascii="宋体" w:hAnsi="宋体" w:cs="宋体" w:hint="eastAsia"/>
                <w:color w:val="000000"/>
                <w:szCs w:val="21"/>
              </w:rPr>
              <w:t>黄曲霉毒素</w:t>
            </w:r>
            <w:proofErr w:type="gramEnd"/>
            <w:r w:rsidRPr="005E0FC5">
              <w:rPr>
                <w:rFonts w:ascii="宋体" w:hAnsi="宋体" w:cs="宋体" w:hint="eastAsia"/>
                <w:color w:val="000000"/>
                <w:szCs w:val="21"/>
              </w:rPr>
              <w:t>B1</w:t>
            </w:r>
          </w:p>
        </w:tc>
        <w:tc>
          <w:tcPr>
            <w:tcW w:w="1843" w:type="dxa"/>
            <w:vMerge/>
            <w:tcBorders>
              <w:left w:val="single" w:sz="4" w:space="0" w:color="000000"/>
              <w:bottom w:val="single" w:sz="4" w:space="0" w:color="auto"/>
              <w:right w:val="single" w:sz="4" w:space="0" w:color="000000"/>
            </w:tcBorders>
            <w:vAlign w:val="center"/>
          </w:tcPr>
          <w:p w14:paraId="7A54A96D" w14:textId="77777777" w:rsidR="00735BC7" w:rsidRPr="005E0FC5" w:rsidRDefault="00735BC7" w:rsidP="00F97F57">
            <w:pPr>
              <w:jc w:val="center"/>
              <w:textAlignment w:val="center"/>
              <w:rPr>
                <w:rFonts w:ascii="宋体" w:hAnsi="宋体" w:cs="宋体"/>
                <w:color w:val="000000"/>
                <w:szCs w:val="21"/>
              </w:rPr>
            </w:pPr>
          </w:p>
        </w:tc>
        <w:tc>
          <w:tcPr>
            <w:tcW w:w="1614" w:type="dxa"/>
            <w:vMerge/>
            <w:tcBorders>
              <w:left w:val="single" w:sz="4" w:space="0" w:color="000000"/>
              <w:bottom w:val="single" w:sz="4" w:space="0" w:color="auto"/>
              <w:right w:val="single" w:sz="4" w:space="0" w:color="000000"/>
            </w:tcBorders>
            <w:vAlign w:val="center"/>
          </w:tcPr>
          <w:p w14:paraId="1CF4AE5D" w14:textId="77777777" w:rsidR="00735BC7" w:rsidRPr="005E0FC5" w:rsidRDefault="00735BC7" w:rsidP="00F97F57">
            <w:pPr>
              <w:jc w:val="center"/>
              <w:textAlignment w:val="center"/>
              <w:rPr>
                <w:rFonts w:ascii="宋体" w:hAnsi="宋体" w:cs="宋体"/>
                <w:color w:val="000000"/>
                <w:szCs w:val="21"/>
              </w:rPr>
            </w:pPr>
          </w:p>
        </w:tc>
      </w:tr>
      <w:tr w:rsidR="00735BC7" w:rsidRPr="005E0FC5" w14:paraId="26A03613" w14:textId="77777777" w:rsidTr="00F97F57">
        <w:trPr>
          <w:jc w:val="center"/>
        </w:trPr>
        <w:tc>
          <w:tcPr>
            <w:tcW w:w="766" w:type="dxa"/>
            <w:vMerge w:val="restart"/>
            <w:tcBorders>
              <w:top w:val="single" w:sz="4" w:space="0" w:color="000000"/>
              <w:left w:val="single" w:sz="4" w:space="0" w:color="000000"/>
              <w:right w:val="single" w:sz="4" w:space="0" w:color="000000"/>
            </w:tcBorders>
            <w:vAlign w:val="center"/>
          </w:tcPr>
          <w:p w14:paraId="1E31C6DB"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5</w:t>
            </w:r>
          </w:p>
        </w:tc>
        <w:tc>
          <w:tcPr>
            <w:tcW w:w="1134" w:type="dxa"/>
            <w:vMerge w:val="restart"/>
            <w:tcBorders>
              <w:top w:val="single" w:sz="4" w:space="0" w:color="000000"/>
              <w:left w:val="single" w:sz="4" w:space="0" w:color="000000"/>
              <w:right w:val="single" w:sz="4" w:space="0" w:color="000000"/>
            </w:tcBorders>
            <w:vAlign w:val="center"/>
          </w:tcPr>
          <w:p w14:paraId="76A671D5"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干货类</w:t>
            </w:r>
          </w:p>
        </w:tc>
        <w:tc>
          <w:tcPr>
            <w:tcW w:w="3260" w:type="dxa"/>
            <w:tcBorders>
              <w:top w:val="single" w:sz="4" w:space="0" w:color="auto"/>
              <w:left w:val="single" w:sz="4" w:space="0" w:color="000000"/>
              <w:bottom w:val="single" w:sz="4" w:space="0" w:color="auto"/>
              <w:right w:val="single" w:sz="4" w:space="0" w:color="000000"/>
            </w:tcBorders>
            <w:vAlign w:val="center"/>
          </w:tcPr>
          <w:p w14:paraId="6A69F402" w14:textId="77777777" w:rsidR="00735BC7" w:rsidRPr="005E0FC5" w:rsidRDefault="00735BC7" w:rsidP="00F97F57">
            <w:pPr>
              <w:jc w:val="center"/>
              <w:textAlignment w:val="center"/>
              <w:rPr>
                <w:rFonts w:ascii="宋体" w:hAnsi="宋体" w:cs="宋体"/>
                <w:color w:val="000000"/>
                <w:szCs w:val="21"/>
              </w:rPr>
            </w:pPr>
            <w:proofErr w:type="gramStart"/>
            <w:r w:rsidRPr="005E0FC5">
              <w:rPr>
                <w:rFonts w:ascii="宋体" w:hAnsi="宋体" w:cs="宋体" w:hint="eastAsia"/>
                <w:color w:val="000000"/>
                <w:szCs w:val="21"/>
              </w:rPr>
              <w:t>黄曲霉毒素</w:t>
            </w:r>
            <w:proofErr w:type="gramEnd"/>
            <w:r w:rsidRPr="005E0FC5">
              <w:rPr>
                <w:rFonts w:ascii="宋体" w:hAnsi="宋体" w:cs="宋体" w:hint="eastAsia"/>
                <w:color w:val="000000"/>
                <w:szCs w:val="21"/>
              </w:rPr>
              <w:t>B1、二氧化硫</w:t>
            </w:r>
          </w:p>
        </w:tc>
        <w:tc>
          <w:tcPr>
            <w:tcW w:w="1843" w:type="dxa"/>
            <w:tcBorders>
              <w:top w:val="single" w:sz="4" w:space="0" w:color="auto"/>
              <w:left w:val="single" w:sz="4" w:space="0" w:color="000000"/>
              <w:bottom w:val="single" w:sz="4" w:space="0" w:color="auto"/>
              <w:right w:val="single" w:sz="4" w:space="0" w:color="000000"/>
            </w:tcBorders>
            <w:vAlign w:val="center"/>
          </w:tcPr>
          <w:p w14:paraId="7DC2E5D6" w14:textId="77777777" w:rsidR="00735BC7" w:rsidRPr="005E0FC5" w:rsidRDefault="00735BC7" w:rsidP="00F97F57">
            <w:pPr>
              <w:jc w:val="center"/>
              <w:textAlignment w:val="center"/>
              <w:rPr>
                <w:rFonts w:ascii="宋体" w:hAnsi="宋体" w:cs="宋体"/>
                <w:color w:val="000000"/>
                <w:szCs w:val="21"/>
              </w:rPr>
            </w:pPr>
          </w:p>
        </w:tc>
        <w:tc>
          <w:tcPr>
            <w:tcW w:w="1614" w:type="dxa"/>
            <w:tcBorders>
              <w:top w:val="single" w:sz="4" w:space="0" w:color="auto"/>
              <w:left w:val="single" w:sz="4" w:space="0" w:color="000000"/>
              <w:bottom w:val="single" w:sz="4" w:space="0" w:color="auto"/>
              <w:right w:val="single" w:sz="4" w:space="0" w:color="000000"/>
            </w:tcBorders>
            <w:vAlign w:val="center"/>
          </w:tcPr>
          <w:p w14:paraId="38F83F46" w14:textId="77777777" w:rsidR="00735BC7" w:rsidRPr="005E0FC5" w:rsidRDefault="00735BC7" w:rsidP="00F97F57">
            <w:pPr>
              <w:jc w:val="center"/>
              <w:textAlignment w:val="center"/>
              <w:rPr>
                <w:rFonts w:ascii="宋体" w:hAnsi="宋体" w:cs="宋体"/>
                <w:color w:val="000000"/>
                <w:szCs w:val="21"/>
              </w:rPr>
            </w:pPr>
            <w:r w:rsidRPr="005E0FC5">
              <w:rPr>
                <w:rFonts w:hint="eastAsia"/>
                <w:kern w:val="0"/>
                <w:szCs w:val="21"/>
              </w:rPr>
              <w:t>项次。</w:t>
            </w:r>
          </w:p>
        </w:tc>
      </w:tr>
      <w:tr w:rsidR="00735BC7" w:rsidRPr="005E0FC5" w14:paraId="796C1089" w14:textId="77777777" w:rsidTr="00F97F57">
        <w:trPr>
          <w:trHeight w:val="81"/>
          <w:jc w:val="center"/>
        </w:trPr>
        <w:tc>
          <w:tcPr>
            <w:tcW w:w="766" w:type="dxa"/>
            <w:vMerge/>
            <w:tcBorders>
              <w:left w:val="single" w:sz="4" w:space="0" w:color="000000"/>
              <w:bottom w:val="single" w:sz="4" w:space="0" w:color="000000"/>
              <w:right w:val="single" w:sz="4" w:space="0" w:color="000000"/>
            </w:tcBorders>
            <w:vAlign w:val="center"/>
          </w:tcPr>
          <w:p w14:paraId="6B4741FA" w14:textId="77777777" w:rsidR="00735BC7" w:rsidRPr="005E0FC5" w:rsidRDefault="00735BC7" w:rsidP="00F97F57">
            <w:pPr>
              <w:jc w:val="center"/>
              <w:textAlignment w:val="center"/>
              <w:rPr>
                <w:rFonts w:ascii="宋体" w:hAnsi="宋体" w:cs="宋体"/>
                <w:color w:val="000000"/>
                <w:szCs w:val="21"/>
              </w:rPr>
            </w:pPr>
          </w:p>
        </w:tc>
        <w:tc>
          <w:tcPr>
            <w:tcW w:w="1134" w:type="dxa"/>
            <w:vMerge/>
            <w:tcBorders>
              <w:left w:val="single" w:sz="4" w:space="0" w:color="000000"/>
              <w:bottom w:val="single" w:sz="4" w:space="0" w:color="000000"/>
              <w:right w:val="single" w:sz="4" w:space="0" w:color="000000"/>
            </w:tcBorders>
            <w:vAlign w:val="center"/>
          </w:tcPr>
          <w:p w14:paraId="27BB142D" w14:textId="77777777" w:rsidR="00735BC7" w:rsidRPr="005E0FC5" w:rsidRDefault="00735BC7" w:rsidP="00F97F57">
            <w:pPr>
              <w:jc w:val="center"/>
              <w:textAlignment w:val="center"/>
              <w:rPr>
                <w:rFonts w:ascii="宋体" w:hAnsi="宋体" w:cs="宋体"/>
                <w:color w:val="000000"/>
                <w:szCs w:val="21"/>
              </w:rPr>
            </w:pPr>
          </w:p>
        </w:tc>
        <w:tc>
          <w:tcPr>
            <w:tcW w:w="3260" w:type="dxa"/>
            <w:tcBorders>
              <w:top w:val="single" w:sz="4" w:space="0" w:color="auto"/>
              <w:left w:val="single" w:sz="4" w:space="0" w:color="000000"/>
              <w:bottom w:val="single" w:sz="4" w:space="0" w:color="000000"/>
              <w:right w:val="single" w:sz="4" w:space="0" w:color="000000"/>
            </w:tcBorders>
            <w:vAlign w:val="center"/>
          </w:tcPr>
          <w:p w14:paraId="4F01BBAB" w14:textId="77777777" w:rsidR="00735BC7" w:rsidRPr="005E0FC5" w:rsidRDefault="00735BC7" w:rsidP="00F97F57">
            <w:pPr>
              <w:jc w:val="center"/>
              <w:textAlignment w:val="center"/>
              <w:rPr>
                <w:rFonts w:ascii="宋体" w:hAnsi="宋体" w:cs="宋体"/>
                <w:color w:val="000000"/>
                <w:szCs w:val="21"/>
              </w:rPr>
            </w:pPr>
          </w:p>
        </w:tc>
        <w:tc>
          <w:tcPr>
            <w:tcW w:w="1843" w:type="dxa"/>
            <w:vMerge w:val="restart"/>
            <w:tcBorders>
              <w:top w:val="single" w:sz="4" w:space="0" w:color="auto"/>
              <w:left w:val="single" w:sz="4" w:space="0" w:color="000000"/>
              <w:right w:val="single" w:sz="4" w:space="0" w:color="000000"/>
            </w:tcBorders>
            <w:vAlign w:val="center"/>
          </w:tcPr>
          <w:p w14:paraId="1089673D" w14:textId="77777777" w:rsidR="00735BC7" w:rsidRPr="005E0FC5" w:rsidRDefault="00735BC7" w:rsidP="00F97F57">
            <w:pPr>
              <w:jc w:val="center"/>
              <w:textAlignment w:val="center"/>
              <w:rPr>
                <w:rFonts w:ascii="宋体" w:hAnsi="宋体" w:cs="宋体"/>
                <w:color w:val="000000"/>
                <w:szCs w:val="21"/>
              </w:rPr>
            </w:pPr>
          </w:p>
        </w:tc>
        <w:tc>
          <w:tcPr>
            <w:tcW w:w="1614" w:type="dxa"/>
            <w:vMerge w:val="restart"/>
            <w:tcBorders>
              <w:top w:val="single" w:sz="4" w:space="0" w:color="auto"/>
              <w:left w:val="single" w:sz="4" w:space="0" w:color="000000"/>
              <w:right w:val="single" w:sz="4" w:space="0" w:color="000000"/>
            </w:tcBorders>
            <w:vAlign w:val="center"/>
          </w:tcPr>
          <w:p w14:paraId="024A5A05" w14:textId="77777777" w:rsidR="00735BC7" w:rsidRPr="005E0FC5" w:rsidRDefault="00735BC7" w:rsidP="00F97F57">
            <w:pPr>
              <w:jc w:val="center"/>
              <w:textAlignment w:val="center"/>
              <w:rPr>
                <w:rFonts w:ascii="宋体" w:hAnsi="宋体" w:cs="宋体"/>
                <w:color w:val="000000"/>
                <w:szCs w:val="21"/>
              </w:rPr>
            </w:pPr>
          </w:p>
        </w:tc>
      </w:tr>
      <w:tr w:rsidR="00735BC7" w:rsidRPr="005E0FC5" w14:paraId="2BA1CBDA" w14:textId="77777777" w:rsidTr="00F97F57">
        <w:trPr>
          <w:trHeight w:val="234"/>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41C343BE"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7B0AB70C"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餐具</w:t>
            </w:r>
          </w:p>
        </w:tc>
        <w:tc>
          <w:tcPr>
            <w:tcW w:w="3260" w:type="dxa"/>
            <w:tcBorders>
              <w:top w:val="single" w:sz="4" w:space="0" w:color="000000"/>
              <w:left w:val="single" w:sz="4" w:space="0" w:color="000000"/>
              <w:bottom w:val="single" w:sz="4" w:space="0" w:color="000000"/>
              <w:right w:val="single" w:sz="4" w:space="0" w:color="000000"/>
            </w:tcBorders>
            <w:vAlign w:val="center"/>
          </w:tcPr>
          <w:p w14:paraId="651D3E32"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餐具表面洁净度</w:t>
            </w:r>
          </w:p>
        </w:tc>
        <w:tc>
          <w:tcPr>
            <w:tcW w:w="1843" w:type="dxa"/>
            <w:vMerge/>
            <w:tcBorders>
              <w:left w:val="single" w:sz="4" w:space="0" w:color="000000"/>
              <w:right w:val="single" w:sz="4" w:space="0" w:color="000000"/>
            </w:tcBorders>
            <w:vAlign w:val="center"/>
          </w:tcPr>
          <w:p w14:paraId="2DE7E14D" w14:textId="77777777" w:rsidR="00735BC7" w:rsidRPr="005E0FC5" w:rsidRDefault="00735BC7" w:rsidP="00F97F57">
            <w:pPr>
              <w:jc w:val="center"/>
              <w:textAlignment w:val="center"/>
              <w:rPr>
                <w:rFonts w:ascii="宋体" w:hAnsi="宋体" w:cs="宋体"/>
                <w:color w:val="000000"/>
                <w:szCs w:val="21"/>
              </w:rPr>
            </w:pPr>
          </w:p>
        </w:tc>
        <w:tc>
          <w:tcPr>
            <w:tcW w:w="1614" w:type="dxa"/>
            <w:vMerge/>
            <w:tcBorders>
              <w:left w:val="single" w:sz="4" w:space="0" w:color="000000"/>
              <w:right w:val="single" w:sz="4" w:space="0" w:color="000000"/>
            </w:tcBorders>
            <w:vAlign w:val="center"/>
          </w:tcPr>
          <w:p w14:paraId="33BB1859" w14:textId="77777777" w:rsidR="00735BC7" w:rsidRPr="005E0FC5" w:rsidRDefault="00735BC7" w:rsidP="00F97F57">
            <w:pPr>
              <w:jc w:val="center"/>
              <w:textAlignment w:val="center"/>
              <w:rPr>
                <w:rFonts w:ascii="宋体" w:hAnsi="宋体" w:cs="宋体"/>
                <w:color w:val="000000"/>
                <w:szCs w:val="21"/>
              </w:rPr>
            </w:pPr>
          </w:p>
        </w:tc>
      </w:tr>
      <w:tr w:rsidR="00735BC7" w:rsidRPr="0011318E" w14:paraId="70CB0A5C" w14:textId="77777777" w:rsidTr="00F97F57">
        <w:trPr>
          <w:trHeight w:val="234"/>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7916228A"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6137F8C0" w14:textId="77777777" w:rsidR="00735BC7" w:rsidRPr="005E0FC5" w:rsidRDefault="00735BC7" w:rsidP="00F97F57">
            <w:pPr>
              <w:jc w:val="center"/>
              <w:textAlignment w:val="center"/>
              <w:rPr>
                <w:rFonts w:ascii="宋体" w:hAnsi="宋体" w:cs="宋体"/>
                <w:color w:val="000000"/>
                <w:szCs w:val="21"/>
              </w:rPr>
            </w:pPr>
            <w:r w:rsidRPr="005E0FC5">
              <w:rPr>
                <w:rFonts w:hint="eastAsia"/>
                <w:kern w:val="0"/>
                <w:szCs w:val="21"/>
              </w:rPr>
              <w:t>食品成品</w:t>
            </w:r>
          </w:p>
        </w:tc>
        <w:tc>
          <w:tcPr>
            <w:tcW w:w="3260" w:type="dxa"/>
            <w:tcBorders>
              <w:top w:val="single" w:sz="4" w:space="0" w:color="000000"/>
              <w:left w:val="single" w:sz="4" w:space="0" w:color="000000"/>
              <w:bottom w:val="single" w:sz="4" w:space="0" w:color="000000"/>
              <w:right w:val="single" w:sz="4" w:space="0" w:color="000000"/>
            </w:tcBorders>
            <w:vAlign w:val="center"/>
          </w:tcPr>
          <w:p w14:paraId="3B4EB7E4" w14:textId="77777777" w:rsidR="00735BC7" w:rsidRPr="005E0FC5" w:rsidRDefault="00735BC7" w:rsidP="00F97F57">
            <w:pPr>
              <w:jc w:val="center"/>
              <w:textAlignment w:val="center"/>
              <w:rPr>
                <w:rFonts w:ascii="宋体" w:hAnsi="宋体" w:cs="宋体"/>
                <w:color w:val="000000"/>
                <w:szCs w:val="21"/>
              </w:rPr>
            </w:pPr>
            <w:r w:rsidRPr="005E0FC5">
              <w:rPr>
                <w:rFonts w:ascii="宋体" w:hAnsi="宋体" w:cs="宋体" w:hint="eastAsia"/>
                <w:color w:val="000000"/>
                <w:szCs w:val="21"/>
              </w:rPr>
              <w:t>菌落总数、大肠菌群</w:t>
            </w:r>
          </w:p>
        </w:tc>
        <w:tc>
          <w:tcPr>
            <w:tcW w:w="1843" w:type="dxa"/>
            <w:vMerge/>
            <w:tcBorders>
              <w:left w:val="single" w:sz="4" w:space="0" w:color="000000"/>
              <w:bottom w:val="single" w:sz="4" w:space="0" w:color="000000"/>
              <w:right w:val="single" w:sz="4" w:space="0" w:color="000000"/>
            </w:tcBorders>
            <w:vAlign w:val="center"/>
          </w:tcPr>
          <w:p w14:paraId="55F16D02" w14:textId="77777777" w:rsidR="00735BC7" w:rsidRPr="005E0FC5" w:rsidRDefault="00735BC7" w:rsidP="00F97F57">
            <w:pPr>
              <w:jc w:val="center"/>
              <w:textAlignment w:val="center"/>
              <w:rPr>
                <w:rFonts w:ascii="宋体" w:hAnsi="宋体" w:cs="宋体"/>
                <w:color w:val="000000"/>
                <w:szCs w:val="21"/>
              </w:rPr>
            </w:pPr>
          </w:p>
        </w:tc>
        <w:tc>
          <w:tcPr>
            <w:tcW w:w="1614" w:type="dxa"/>
            <w:vMerge/>
            <w:tcBorders>
              <w:left w:val="single" w:sz="4" w:space="0" w:color="000000"/>
              <w:bottom w:val="single" w:sz="4" w:space="0" w:color="000000"/>
              <w:right w:val="single" w:sz="4" w:space="0" w:color="000000"/>
            </w:tcBorders>
            <w:vAlign w:val="center"/>
          </w:tcPr>
          <w:p w14:paraId="29EFD4FF" w14:textId="77777777" w:rsidR="00735BC7" w:rsidRPr="005E0FC5" w:rsidRDefault="00735BC7" w:rsidP="00F97F57">
            <w:pPr>
              <w:jc w:val="center"/>
              <w:textAlignment w:val="center"/>
              <w:rPr>
                <w:rFonts w:ascii="宋体" w:hAnsi="宋体" w:cs="宋体"/>
                <w:color w:val="000000"/>
                <w:szCs w:val="21"/>
              </w:rPr>
            </w:pPr>
          </w:p>
        </w:tc>
      </w:tr>
    </w:tbl>
    <w:p w14:paraId="38594F74" w14:textId="77777777" w:rsidR="00735BC7"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Pr>
          <w:rFonts w:ascii="新宋体" w:eastAsia="新宋体" w:hAnsi="新宋体" w:hint="eastAsia"/>
          <w:kern w:val="0"/>
          <w:sz w:val="21"/>
          <w:szCs w:val="21"/>
        </w:rPr>
        <w:t>3. 食品安全知识培训</w:t>
      </w:r>
    </w:p>
    <w:p w14:paraId="5549DB7F" w14:textId="77777777" w:rsidR="00735BC7"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Pr>
          <w:rFonts w:ascii="新宋体" w:eastAsia="新宋体" w:hAnsi="新宋体" w:hint="eastAsia"/>
          <w:kern w:val="0"/>
          <w:sz w:val="21"/>
          <w:szCs w:val="21"/>
        </w:rPr>
        <w:t>在服务期限内对食堂工作人员进行3次食品安全知识培训，主要包括：深圳市餐饮业</w:t>
      </w:r>
      <w:proofErr w:type="gramStart"/>
      <w:r>
        <w:rPr>
          <w:rFonts w:ascii="新宋体" w:eastAsia="新宋体" w:hAnsi="新宋体" w:hint="eastAsia"/>
          <w:kern w:val="0"/>
          <w:sz w:val="21"/>
          <w:szCs w:val="21"/>
        </w:rPr>
        <w:t>食品安全管理</w:t>
      </w:r>
      <w:proofErr w:type="gramEnd"/>
      <w:r>
        <w:rPr>
          <w:rFonts w:ascii="新宋体" w:eastAsia="新宋体" w:hAnsi="新宋体" w:hint="eastAsia"/>
          <w:kern w:val="0"/>
          <w:sz w:val="21"/>
          <w:szCs w:val="21"/>
        </w:rPr>
        <w:t>制度；食品污染及其预防控制措施；食物中毒和其他食源性疾病的预防方法；加</w:t>
      </w:r>
      <w:r>
        <w:rPr>
          <w:rFonts w:ascii="新宋体" w:eastAsia="新宋体" w:hAnsi="新宋体" w:hint="eastAsia"/>
          <w:kern w:val="0"/>
          <w:sz w:val="21"/>
          <w:szCs w:val="21"/>
        </w:rPr>
        <w:lastRenderedPageBreak/>
        <w:t>工场所环境、设备以及食品采购、储存、加工、烹制、运输过程的卫生要求；食品加工区各岗位加工操作规范；食品采购验收、索证索票要求；食品从业人员的个人卫生要求等。</w:t>
      </w:r>
    </w:p>
    <w:p w14:paraId="0D76867C" w14:textId="77777777" w:rsidR="00735BC7" w:rsidRPr="005E0FC5"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sidRPr="005E0FC5">
        <w:rPr>
          <w:rFonts w:ascii="新宋体" w:eastAsia="新宋体" w:hAnsi="新宋体" w:hint="eastAsia"/>
          <w:kern w:val="0"/>
          <w:sz w:val="21"/>
          <w:szCs w:val="21"/>
        </w:rPr>
        <w:t>培训团队应由长期从事</w:t>
      </w:r>
      <w:proofErr w:type="gramStart"/>
      <w:r w:rsidRPr="005E0FC5">
        <w:rPr>
          <w:rFonts w:ascii="新宋体" w:eastAsia="新宋体" w:hAnsi="新宋体" w:hint="eastAsia"/>
          <w:kern w:val="0"/>
          <w:sz w:val="21"/>
          <w:szCs w:val="21"/>
        </w:rPr>
        <w:t>食品安全管理</w:t>
      </w:r>
      <w:proofErr w:type="gramEnd"/>
      <w:r w:rsidRPr="005E0FC5">
        <w:rPr>
          <w:rFonts w:ascii="新宋体" w:eastAsia="新宋体" w:hAnsi="新宋体" w:hint="eastAsia"/>
          <w:kern w:val="0"/>
          <w:sz w:val="21"/>
          <w:szCs w:val="21"/>
        </w:rPr>
        <w:t>，经验丰富的人员组成，成员不少于4人。培训服务人员应根据最新的食品安全</w:t>
      </w:r>
      <w:proofErr w:type="gramStart"/>
      <w:r w:rsidRPr="005E0FC5">
        <w:rPr>
          <w:rFonts w:ascii="新宋体" w:eastAsia="新宋体" w:hAnsi="新宋体" w:hint="eastAsia"/>
          <w:kern w:val="0"/>
          <w:sz w:val="21"/>
          <w:szCs w:val="21"/>
        </w:rPr>
        <w:t>相关法律</w:t>
      </w:r>
      <w:proofErr w:type="gramEnd"/>
      <w:r w:rsidRPr="005E0FC5">
        <w:rPr>
          <w:rFonts w:ascii="新宋体" w:eastAsia="新宋体" w:hAnsi="新宋体" w:hint="eastAsia"/>
          <w:kern w:val="0"/>
          <w:sz w:val="21"/>
          <w:szCs w:val="21"/>
        </w:rPr>
        <w:t>法规及每期培训主题建立试题库，编制考核试卷。按照培训计划，分别对食堂</w:t>
      </w:r>
      <w:proofErr w:type="gramStart"/>
      <w:r w:rsidRPr="005E0FC5">
        <w:rPr>
          <w:rFonts w:ascii="新宋体" w:eastAsia="新宋体" w:hAnsi="新宋体" w:hint="eastAsia"/>
          <w:kern w:val="0"/>
          <w:sz w:val="21"/>
          <w:szCs w:val="21"/>
        </w:rPr>
        <w:t>食品安全管理员</w:t>
      </w:r>
      <w:proofErr w:type="gramEnd"/>
      <w:r w:rsidRPr="005E0FC5">
        <w:rPr>
          <w:rFonts w:ascii="新宋体" w:eastAsia="新宋体" w:hAnsi="新宋体" w:hint="eastAsia"/>
          <w:kern w:val="0"/>
          <w:sz w:val="21"/>
          <w:szCs w:val="21"/>
        </w:rPr>
        <w:t>和负责人员、加工操作人员等开展培训和考核。培训结束后，从试题库内抽选考核试题进行考核。考试完成后，完成试卷评分并向委托方分管负责人发送考试成绩。</w:t>
      </w:r>
    </w:p>
    <w:p w14:paraId="1711F361" w14:textId="77777777" w:rsidR="00735BC7" w:rsidRDefault="00735BC7" w:rsidP="00735BC7">
      <w:pPr>
        <w:pStyle w:val="3"/>
        <w:tabs>
          <w:tab w:val="left" w:pos="709"/>
        </w:tabs>
        <w:topLinePunct/>
        <w:spacing w:line="360" w:lineRule="auto"/>
        <w:rPr>
          <w:rFonts w:ascii="新宋体" w:eastAsia="新宋体" w:hAnsi="新宋体"/>
          <w:b/>
          <w:kern w:val="0"/>
          <w:sz w:val="21"/>
          <w:szCs w:val="21"/>
        </w:rPr>
      </w:pPr>
      <w:r>
        <w:rPr>
          <w:rFonts w:ascii="新宋体" w:eastAsia="新宋体" w:hAnsi="新宋体" w:hint="eastAsia"/>
          <w:b/>
          <w:kern w:val="0"/>
          <w:sz w:val="21"/>
          <w:szCs w:val="21"/>
        </w:rPr>
        <w:t>（二）工作质量要求</w:t>
      </w:r>
    </w:p>
    <w:p w14:paraId="26B289C9" w14:textId="77777777" w:rsidR="00735BC7"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Pr>
          <w:rFonts w:ascii="新宋体" w:eastAsia="新宋体" w:hAnsi="新宋体" w:hint="eastAsia"/>
          <w:kern w:val="0"/>
          <w:sz w:val="21"/>
          <w:szCs w:val="21"/>
        </w:rPr>
        <w:t>第三</w:t>
      </w:r>
      <w:proofErr w:type="gramStart"/>
      <w:r>
        <w:rPr>
          <w:rFonts w:ascii="新宋体" w:eastAsia="新宋体" w:hAnsi="新宋体" w:hint="eastAsia"/>
          <w:kern w:val="0"/>
          <w:sz w:val="21"/>
          <w:szCs w:val="21"/>
        </w:rPr>
        <w:t>方专业</w:t>
      </w:r>
      <w:proofErr w:type="gramEnd"/>
      <w:r>
        <w:rPr>
          <w:rFonts w:ascii="新宋体" w:eastAsia="新宋体" w:hAnsi="新宋体" w:hint="eastAsia"/>
          <w:kern w:val="0"/>
          <w:sz w:val="21"/>
          <w:szCs w:val="21"/>
        </w:rPr>
        <w:t>机构及其派出人员不是行政执法主体，没有执法权，不得实施行政强制、行政处罚等行政行为。第三</w:t>
      </w:r>
      <w:proofErr w:type="gramStart"/>
      <w:r>
        <w:rPr>
          <w:rFonts w:ascii="新宋体" w:eastAsia="新宋体" w:hAnsi="新宋体" w:hint="eastAsia"/>
          <w:kern w:val="0"/>
          <w:sz w:val="21"/>
          <w:szCs w:val="21"/>
        </w:rPr>
        <w:t>方专业</w:t>
      </w:r>
      <w:proofErr w:type="gramEnd"/>
      <w:r>
        <w:rPr>
          <w:rFonts w:ascii="新宋体" w:eastAsia="新宋体" w:hAnsi="新宋体" w:hint="eastAsia"/>
          <w:kern w:val="0"/>
          <w:sz w:val="21"/>
          <w:szCs w:val="21"/>
        </w:rPr>
        <w:t>机构派出的人员应采纳采购单位的合理建议或意见。</w:t>
      </w:r>
    </w:p>
    <w:p w14:paraId="2A5CAAAE" w14:textId="77777777" w:rsidR="00735BC7"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Pr>
          <w:rFonts w:ascii="新宋体" w:eastAsia="新宋体" w:hAnsi="新宋体" w:hint="eastAsia"/>
          <w:kern w:val="0"/>
          <w:sz w:val="21"/>
          <w:szCs w:val="21"/>
        </w:rPr>
        <w:t>第三</w:t>
      </w:r>
      <w:proofErr w:type="gramStart"/>
      <w:r>
        <w:rPr>
          <w:rFonts w:ascii="新宋体" w:eastAsia="新宋体" w:hAnsi="新宋体" w:hint="eastAsia"/>
          <w:kern w:val="0"/>
          <w:sz w:val="21"/>
          <w:szCs w:val="21"/>
        </w:rPr>
        <w:t>方专业</w:t>
      </w:r>
      <w:proofErr w:type="gramEnd"/>
      <w:r>
        <w:rPr>
          <w:rFonts w:ascii="新宋体" w:eastAsia="新宋体" w:hAnsi="新宋体" w:hint="eastAsia"/>
          <w:kern w:val="0"/>
          <w:sz w:val="21"/>
          <w:szCs w:val="21"/>
        </w:rPr>
        <w:t>机构应根据采购单位的要求派出相应数量的专业人员提供服务，并把服务于本项目人员的有关信息报采购单位备案。第三</w:t>
      </w:r>
      <w:proofErr w:type="gramStart"/>
      <w:r>
        <w:rPr>
          <w:rFonts w:ascii="新宋体" w:eastAsia="新宋体" w:hAnsi="新宋体" w:hint="eastAsia"/>
          <w:kern w:val="0"/>
          <w:sz w:val="21"/>
          <w:szCs w:val="21"/>
        </w:rPr>
        <w:t>方专业</w:t>
      </w:r>
      <w:proofErr w:type="gramEnd"/>
      <w:r>
        <w:rPr>
          <w:rFonts w:ascii="新宋体" w:eastAsia="新宋体" w:hAnsi="新宋体" w:hint="eastAsia"/>
          <w:kern w:val="0"/>
          <w:sz w:val="21"/>
          <w:szCs w:val="21"/>
        </w:rPr>
        <w:t>机构应根据深圳市人民检察院的要求选派专业性强、身体健康、思想品德好、纪律性和责任心强、业务水平过硬的技术人员，对其进行岗前和岗中培训，并经深圳市人民检察院审核通过后方可从事监管服务工作。</w:t>
      </w:r>
    </w:p>
    <w:p w14:paraId="400C93B4" w14:textId="77777777" w:rsidR="00735BC7" w:rsidRDefault="00735BC7" w:rsidP="00735BC7">
      <w:pPr>
        <w:pStyle w:val="3"/>
        <w:tabs>
          <w:tab w:val="left" w:pos="709"/>
        </w:tabs>
        <w:topLinePunct/>
        <w:spacing w:line="360" w:lineRule="auto"/>
        <w:rPr>
          <w:rFonts w:ascii="新宋体" w:eastAsia="新宋体" w:hAnsi="新宋体"/>
          <w:b/>
          <w:kern w:val="0"/>
          <w:sz w:val="21"/>
          <w:szCs w:val="21"/>
        </w:rPr>
      </w:pPr>
      <w:r>
        <w:rPr>
          <w:rFonts w:ascii="新宋体" w:eastAsia="新宋体" w:hAnsi="新宋体" w:hint="eastAsia"/>
          <w:b/>
          <w:kern w:val="0"/>
          <w:sz w:val="21"/>
          <w:szCs w:val="21"/>
        </w:rPr>
        <w:t>（三）人员配备</w:t>
      </w:r>
    </w:p>
    <w:p w14:paraId="3D8B2699" w14:textId="77777777" w:rsidR="00735BC7"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Pr>
          <w:rFonts w:ascii="新宋体" w:eastAsia="新宋体" w:hAnsi="新宋体" w:hint="eastAsia"/>
          <w:kern w:val="0"/>
          <w:sz w:val="21"/>
          <w:szCs w:val="21"/>
        </w:rPr>
        <w:t>第三</w:t>
      </w:r>
      <w:proofErr w:type="gramStart"/>
      <w:r>
        <w:rPr>
          <w:rFonts w:ascii="新宋体" w:eastAsia="新宋体" w:hAnsi="新宋体" w:hint="eastAsia"/>
          <w:kern w:val="0"/>
          <w:sz w:val="21"/>
          <w:szCs w:val="21"/>
        </w:rPr>
        <w:t>方专业</w:t>
      </w:r>
      <w:proofErr w:type="gramEnd"/>
      <w:r>
        <w:rPr>
          <w:rFonts w:ascii="新宋体" w:eastAsia="新宋体" w:hAnsi="新宋体" w:hint="eastAsia"/>
          <w:kern w:val="0"/>
          <w:sz w:val="21"/>
          <w:szCs w:val="21"/>
        </w:rPr>
        <w:t>机构依据精干、高效、忠于职守的原则配备深圳市人民检察院食品安全监管专项团队，编制操作性强的服务方案；专项团队人员应持续完成全年深圳市检察院单位食堂食品安全监管服务。如中途更换小组人员必须征得深圳市检察院同意。</w:t>
      </w:r>
    </w:p>
    <w:p w14:paraId="1E549CFE" w14:textId="77777777" w:rsidR="00735BC7" w:rsidRDefault="00735BC7" w:rsidP="00735BC7">
      <w:pPr>
        <w:pStyle w:val="3"/>
        <w:tabs>
          <w:tab w:val="left" w:pos="709"/>
        </w:tabs>
        <w:topLinePunct/>
        <w:spacing w:line="360" w:lineRule="auto"/>
        <w:ind w:firstLineChars="200" w:firstLine="420"/>
        <w:rPr>
          <w:rFonts w:ascii="新宋体" w:eastAsia="新宋体" w:hAnsi="新宋体"/>
          <w:kern w:val="0"/>
          <w:sz w:val="21"/>
          <w:szCs w:val="21"/>
        </w:rPr>
      </w:pPr>
      <w:r>
        <w:rPr>
          <w:rFonts w:ascii="新宋体" w:eastAsia="新宋体" w:hAnsi="新宋体" w:hint="eastAsia"/>
          <w:kern w:val="0"/>
          <w:sz w:val="21"/>
          <w:szCs w:val="21"/>
        </w:rPr>
        <w:t>专项团队人员责任心强，具有良好的沟通协调能力，擅长文字工作，能够协助处理食品安全监管中常见的各种问题。</w:t>
      </w:r>
    </w:p>
    <w:p w14:paraId="2F1774D8" w14:textId="77777777" w:rsidR="00735BC7" w:rsidRDefault="00735BC7" w:rsidP="00735BC7">
      <w:pPr>
        <w:spacing w:line="360" w:lineRule="auto"/>
        <w:ind w:firstLineChars="200" w:firstLine="420"/>
        <w:rPr>
          <w:rFonts w:ascii="新宋体" w:eastAsia="新宋体" w:hAnsi="新宋体"/>
        </w:rPr>
      </w:pPr>
      <w:r>
        <w:rPr>
          <w:rFonts w:ascii="新宋体" w:eastAsia="新宋体" w:hAnsi="新宋体" w:hint="eastAsia"/>
          <w:kern w:val="0"/>
          <w:szCs w:val="21"/>
        </w:rPr>
        <w:t>专项团队人员熟知食品安全现行法律法规，熟悉政府监管机制，具有多年的食品安全现场实际监督管理经验及风险控制的能力，能够针对实际情况制订并实施管理计划，保证与采购单位的具体监管要求保持高度一致。</w:t>
      </w:r>
    </w:p>
    <w:p w14:paraId="31EA61A1" w14:textId="7DE0B9CF" w:rsidR="00735BC7" w:rsidRPr="005E0FC5" w:rsidRDefault="00735BC7" w:rsidP="00735BC7">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w:t>
      </w:r>
      <w:r>
        <w:rPr>
          <w:rFonts w:ascii="华文中宋" w:eastAsia="华文中宋" w:hAnsi="华文中宋" w:hint="eastAsia"/>
          <w:kern w:val="0"/>
          <w:sz w:val="28"/>
          <w:szCs w:val="28"/>
          <w:lang w:val="zh-CN"/>
        </w:rPr>
        <w:t>、项</w:t>
      </w:r>
      <w:r w:rsidRPr="005E0FC5">
        <w:rPr>
          <w:rFonts w:ascii="华文中宋" w:eastAsia="华文中宋" w:hAnsi="华文中宋" w:hint="eastAsia"/>
          <w:kern w:val="0"/>
          <w:sz w:val="28"/>
          <w:szCs w:val="28"/>
          <w:lang w:val="zh-CN"/>
        </w:rPr>
        <w:t>目商务要求</w:t>
      </w:r>
    </w:p>
    <w:p w14:paraId="07B02B31" w14:textId="77777777" w:rsidR="00735BC7" w:rsidRPr="005E0FC5" w:rsidRDefault="00735BC7" w:rsidP="00735BC7">
      <w:pPr>
        <w:spacing w:line="360" w:lineRule="auto"/>
        <w:rPr>
          <w:rFonts w:ascii="新宋体" w:eastAsia="新宋体" w:hAnsi="新宋体"/>
        </w:rPr>
      </w:pPr>
      <w:r w:rsidRPr="005E0FC5">
        <w:rPr>
          <w:rFonts w:ascii="新宋体" w:eastAsia="新宋体" w:hAnsi="新宋体" w:hint="eastAsia"/>
        </w:rPr>
        <w:t>（一）服务期限：合同签订之日起一年；</w:t>
      </w:r>
    </w:p>
    <w:p w14:paraId="0C75B824" w14:textId="77777777" w:rsidR="00735BC7" w:rsidRDefault="00735BC7" w:rsidP="00735BC7">
      <w:pPr>
        <w:spacing w:line="360" w:lineRule="auto"/>
        <w:rPr>
          <w:rFonts w:ascii="新宋体" w:eastAsia="新宋体" w:hAnsi="新宋体"/>
        </w:rPr>
      </w:pPr>
      <w:r w:rsidRPr="005E0FC5">
        <w:rPr>
          <w:rFonts w:ascii="新宋体" w:eastAsia="新宋体" w:hAnsi="新宋体" w:hint="eastAsia"/>
        </w:rPr>
        <w:t>（二）付款方式：第三</w:t>
      </w:r>
      <w:proofErr w:type="gramStart"/>
      <w:r w:rsidRPr="005E0FC5">
        <w:rPr>
          <w:rFonts w:ascii="新宋体" w:eastAsia="新宋体" w:hAnsi="新宋体" w:hint="eastAsia"/>
        </w:rPr>
        <w:t>方专业</w:t>
      </w:r>
      <w:proofErr w:type="gramEnd"/>
      <w:r w:rsidRPr="005E0FC5">
        <w:rPr>
          <w:rFonts w:ascii="新宋体" w:eastAsia="新宋体" w:hAnsi="新宋体" w:hint="eastAsia"/>
        </w:rPr>
        <w:t>机构提供相关材料、票据</w:t>
      </w:r>
      <w:r>
        <w:rPr>
          <w:rFonts w:ascii="新宋体" w:eastAsia="新宋体" w:hAnsi="新宋体" w:hint="eastAsia"/>
        </w:rPr>
        <w:t>等，并按相关财务制度要求结算，由深圳市人民检察院根据实际工作进度情况随时进行结算。合同有效期内超过支付上限的不以</w:t>
      </w:r>
      <w:r>
        <w:rPr>
          <w:rFonts w:ascii="新宋体" w:eastAsia="新宋体" w:hAnsi="新宋体" w:hint="eastAsia"/>
        </w:rPr>
        <w:lastRenderedPageBreak/>
        <w:t>支付。</w:t>
      </w:r>
      <w:bookmarkStart w:id="1" w:name="_GoBack"/>
      <w:bookmarkEnd w:id="1"/>
    </w:p>
    <w:p w14:paraId="1B25FF8B" w14:textId="77777777" w:rsidR="00735BC7" w:rsidRDefault="00735BC7" w:rsidP="00735BC7">
      <w:pPr>
        <w:spacing w:line="360" w:lineRule="auto"/>
        <w:rPr>
          <w:rFonts w:ascii="新宋体" w:eastAsia="新宋体" w:hAnsi="新宋体"/>
        </w:rPr>
      </w:pPr>
      <w:r>
        <w:rPr>
          <w:rFonts w:ascii="新宋体" w:eastAsia="新宋体" w:hAnsi="新宋体" w:hint="eastAsia"/>
        </w:rPr>
        <w:t>（三）报价要求</w:t>
      </w:r>
    </w:p>
    <w:p w14:paraId="1BC92F65" w14:textId="77777777" w:rsidR="00735BC7" w:rsidRDefault="00735BC7" w:rsidP="00735BC7">
      <w:pPr>
        <w:spacing w:line="360" w:lineRule="auto"/>
        <w:rPr>
          <w:rFonts w:ascii="新宋体" w:eastAsia="新宋体" w:hAnsi="新宋体"/>
          <w:szCs w:val="21"/>
        </w:rPr>
      </w:pPr>
      <w:r>
        <w:rPr>
          <w:rFonts w:ascii="新宋体" w:eastAsia="新宋体" w:hAnsi="新宋体" w:hint="eastAsia"/>
          <w:szCs w:val="21"/>
        </w:rPr>
        <w:t>投标总报价以人民币报价，总价包括投标人完成本招标项目的所有涉及的一切费用，总价不得超过预算金额，且各分项报价不得超过采购单位提供的费用组成中的预算金额，否则投标无效。</w:t>
      </w:r>
    </w:p>
    <w:p w14:paraId="369BB9D8" w14:textId="77777777" w:rsidR="00F97AF3" w:rsidRPr="00735BC7" w:rsidRDefault="00735BC7"/>
    <w:sectPr w:rsidR="00F97AF3" w:rsidRPr="00735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AA582" w14:textId="77777777" w:rsidR="00735BC7" w:rsidRDefault="00735BC7" w:rsidP="00735BC7">
      <w:r>
        <w:separator/>
      </w:r>
    </w:p>
  </w:endnote>
  <w:endnote w:type="continuationSeparator" w:id="0">
    <w:p w14:paraId="1CDDAE1A" w14:textId="77777777" w:rsidR="00735BC7" w:rsidRDefault="00735BC7" w:rsidP="0073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FC2A0" w14:textId="77777777" w:rsidR="00735BC7" w:rsidRDefault="00735BC7" w:rsidP="00735BC7">
      <w:r>
        <w:separator/>
      </w:r>
    </w:p>
  </w:footnote>
  <w:footnote w:type="continuationSeparator" w:id="0">
    <w:p w14:paraId="4D662FA7" w14:textId="77777777" w:rsidR="00735BC7" w:rsidRDefault="00735BC7" w:rsidP="00735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27"/>
    <w:rsid w:val="00016483"/>
    <w:rsid w:val="00191962"/>
    <w:rsid w:val="002E0F09"/>
    <w:rsid w:val="00351127"/>
    <w:rsid w:val="006949CB"/>
    <w:rsid w:val="00735BC7"/>
    <w:rsid w:val="00DA4612"/>
    <w:rsid w:val="00EB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FC80"/>
  <w15:chartTrackingRefBased/>
  <w15:docId w15:val="{75AF9447-A951-4C3C-8549-FAA3747F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BC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qFormat/>
    <w:rsid w:val="00DA4612"/>
    <w:rPr>
      <w:i/>
    </w:rPr>
  </w:style>
  <w:style w:type="paragraph" w:styleId="a5">
    <w:name w:val="List Paragraph"/>
    <w:basedOn w:val="a"/>
    <w:uiPriority w:val="99"/>
    <w:qFormat/>
    <w:rsid w:val="00DA4612"/>
    <w:pPr>
      <w:ind w:firstLineChars="200" w:firstLine="420"/>
    </w:pPr>
    <w:rPr>
      <w:rFonts w:ascii="Calibri" w:hAnsi="Calibri"/>
    </w:rPr>
  </w:style>
  <w:style w:type="paragraph" w:styleId="a6">
    <w:name w:val="header"/>
    <w:basedOn w:val="a"/>
    <w:link w:val="a7"/>
    <w:uiPriority w:val="99"/>
    <w:unhideWhenUsed/>
    <w:rsid w:val="00735BC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7">
    <w:name w:val="页眉 字符"/>
    <w:basedOn w:val="a0"/>
    <w:link w:val="a6"/>
    <w:uiPriority w:val="99"/>
    <w:rsid w:val="00735BC7"/>
    <w:rPr>
      <w:kern w:val="2"/>
      <w:sz w:val="18"/>
      <w:szCs w:val="18"/>
    </w:rPr>
  </w:style>
  <w:style w:type="paragraph" w:styleId="a8">
    <w:name w:val="footer"/>
    <w:basedOn w:val="a"/>
    <w:link w:val="a9"/>
    <w:uiPriority w:val="99"/>
    <w:unhideWhenUsed/>
    <w:rsid w:val="00735BC7"/>
    <w:pPr>
      <w:tabs>
        <w:tab w:val="center" w:pos="4153"/>
        <w:tab w:val="right" w:pos="8306"/>
      </w:tabs>
      <w:snapToGrid w:val="0"/>
      <w:jc w:val="left"/>
    </w:pPr>
    <w:rPr>
      <w:rFonts w:ascii="Calibri" w:hAnsi="Calibri"/>
      <w:sz w:val="18"/>
      <w:szCs w:val="18"/>
    </w:rPr>
  </w:style>
  <w:style w:type="character" w:customStyle="1" w:styleId="a9">
    <w:name w:val="页脚 字符"/>
    <w:basedOn w:val="a0"/>
    <w:link w:val="a8"/>
    <w:uiPriority w:val="99"/>
    <w:rsid w:val="00735BC7"/>
    <w:rPr>
      <w:kern w:val="2"/>
      <w:sz w:val="18"/>
      <w:szCs w:val="18"/>
    </w:rPr>
  </w:style>
  <w:style w:type="paragraph" w:styleId="3">
    <w:name w:val="Body Text 3"/>
    <w:basedOn w:val="a"/>
    <w:link w:val="30"/>
    <w:qFormat/>
    <w:rsid w:val="00735BC7"/>
    <w:pPr>
      <w:spacing w:after="120"/>
    </w:pPr>
    <w:rPr>
      <w:sz w:val="16"/>
      <w:szCs w:val="16"/>
    </w:rPr>
  </w:style>
  <w:style w:type="character" w:customStyle="1" w:styleId="30">
    <w:name w:val="正文文本 3 字符"/>
    <w:basedOn w:val="a0"/>
    <w:link w:val="3"/>
    <w:qFormat/>
    <w:rsid w:val="00735BC7"/>
    <w:rPr>
      <w:rFonts w:ascii="Times New Roman" w:hAnsi="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2020-07-27T02:59:00Z</dcterms:created>
  <dcterms:modified xsi:type="dcterms:W3CDTF">2020-07-27T03:00:00Z</dcterms:modified>
</cp:coreProperties>
</file>