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新宋体" w:hAnsi="新宋体" w:eastAsia="新宋体"/>
          <w:snapToGrid w:val="0"/>
          <w:kern w:val="0"/>
        </w:rPr>
      </w:pPr>
      <w:r>
        <w:rPr>
          <w:rFonts w:hint="eastAsia" w:ascii="新宋体" w:hAnsi="新宋体" w:eastAsia="新宋体"/>
          <w:snapToGrid w:val="0"/>
          <w:kern w:val="0"/>
        </w:rPr>
        <w:t>招标项目要求</w:t>
      </w:r>
    </w:p>
    <w:p>
      <w:pPr>
        <w:spacing w:line="360" w:lineRule="auto"/>
        <w:ind w:firstLine="602" w:firstLineChars="200"/>
        <w:jc w:val="left"/>
        <w:rPr>
          <w:rFonts w:ascii="新宋体" w:hAnsi="新宋体" w:eastAsia="新宋体"/>
          <w:b/>
          <w:sz w:val="30"/>
          <w:szCs w:val="30"/>
        </w:rPr>
      </w:pPr>
      <w:bookmarkStart w:id="0" w:name="_Toc487557468"/>
      <w:r>
        <w:rPr>
          <w:rFonts w:hint="eastAsia" w:ascii="新宋体" w:hAnsi="新宋体" w:eastAsia="新宋体"/>
          <w:b/>
          <w:sz w:val="30"/>
          <w:szCs w:val="30"/>
        </w:rPr>
        <w:t>关键需求指标：</w:t>
      </w:r>
    </w:p>
    <w:p>
      <w:pPr>
        <w:spacing w:line="360" w:lineRule="auto"/>
        <w:ind w:firstLine="602" w:firstLineChars="250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一、货物清单明细</w:t>
      </w:r>
    </w:p>
    <w:tbl>
      <w:tblPr>
        <w:tblStyle w:val="8"/>
        <w:tblW w:w="48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757"/>
        <w:gridCol w:w="1391"/>
        <w:gridCol w:w="11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szCs w:val="21"/>
              </w:rPr>
              <w:t>序号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szCs w:val="21"/>
              </w:rPr>
              <w:t>货物名称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szCs w:val="21"/>
              </w:rPr>
              <w:t>数量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szCs w:val="21"/>
              </w:rPr>
              <w:t>单位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1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会议业务管理平台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套</w:t>
            </w:r>
          </w:p>
        </w:tc>
        <w:tc>
          <w:tcPr>
            <w:tcW w:w="806" w:type="pct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color w:val="FF0000"/>
                <w:szCs w:val="21"/>
              </w:rPr>
            </w:pPr>
            <w:r>
              <w:rPr>
                <w:rFonts w:ascii="新宋体" w:hAnsi="新宋体" w:eastAsia="新宋体" w:cs="Arial"/>
                <w:b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2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会议多点控制单元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台</w:t>
            </w:r>
          </w:p>
        </w:tc>
        <w:tc>
          <w:tcPr>
            <w:tcW w:w="80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3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高清视讯终端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3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台</w:t>
            </w:r>
          </w:p>
        </w:tc>
        <w:tc>
          <w:tcPr>
            <w:tcW w:w="80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4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终端配套件（高清摄像机）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2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个</w:t>
            </w:r>
          </w:p>
        </w:tc>
        <w:tc>
          <w:tcPr>
            <w:tcW w:w="80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5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 xml:space="preserve">信号管理平台系统 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2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台</w:t>
            </w:r>
          </w:p>
        </w:tc>
        <w:tc>
          <w:tcPr>
            <w:tcW w:w="80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hint="eastAsia" w:ascii="新宋体" w:hAnsi="新宋体" w:eastAsia="新宋体" w:cs="Arial"/>
                <w:bCs/>
                <w:szCs w:val="21"/>
              </w:rPr>
              <w:t>6</w:t>
            </w:r>
          </w:p>
        </w:tc>
        <w:tc>
          <w:tcPr>
            <w:tcW w:w="212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42U机柜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2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台</w:t>
            </w:r>
          </w:p>
        </w:tc>
        <w:tc>
          <w:tcPr>
            <w:tcW w:w="806" w:type="pct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备注：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1、备注栏注明“拒绝进口”的产品不接受投标人选用进口产品参与投标；注明“接受进口”的产品允许投标人选用进口产品参与投标，但不排斥国内产品。 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口产品。采用“接受进口”的产品优先采购向我国企业转让技术、与我国企业签订消化吸收再创新方案的供应商的进口产品，相关内容以财库〔2007〕119 号文和财办库〔2008〕248 号文的相关规定为准。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3、</w:t>
      </w:r>
      <w:r>
        <w:rPr>
          <w:rFonts w:hint="eastAsia" w:ascii="新宋体" w:hAnsi="新宋体" w:eastAsia="新宋体"/>
        </w:rPr>
        <w:tab/>
      </w:r>
      <w:r>
        <w:rPr>
          <w:rFonts w:hint="eastAsia" w:ascii="新宋体" w:hAnsi="新宋体" w:eastAsia="新宋体"/>
        </w:rPr>
        <w:t>本项目核心产品为：</w:t>
      </w:r>
      <w:r>
        <w:rPr>
          <w:rFonts w:hint="eastAsia" w:ascii="新宋体" w:hAnsi="新宋体" w:eastAsia="新宋体"/>
          <w:u w:val="single"/>
        </w:rPr>
        <w:t xml:space="preserve"> </w:t>
      </w:r>
      <w:r>
        <w:rPr>
          <w:rFonts w:ascii="新宋体" w:hAnsi="新宋体" w:eastAsia="新宋体"/>
          <w:u w:val="single"/>
        </w:rPr>
        <w:t xml:space="preserve"> </w:t>
      </w:r>
      <w:r>
        <w:rPr>
          <w:rFonts w:hint="eastAsia" w:ascii="新宋体" w:hAnsi="新宋体" w:eastAsia="新宋体"/>
          <w:b/>
          <w:bCs/>
          <w:u w:val="single"/>
        </w:rPr>
        <w:t xml:space="preserve">信号管理平台系统  </w:t>
      </w:r>
      <w:r>
        <w:rPr>
          <w:rFonts w:hint="eastAsia" w:ascii="新宋体" w:hAnsi="新宋体" w:eastAsia="新宋体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4、</w:t>
      </w:r>
      <w:r>
        <w:rPr>
          <w:rFonts w:hint="eastAsia" w:ascii="新宋体" w:hAnsi="新宋体" w:eastAsia="新宋体"/>
        </w:rPr>
        <w:tab/>
      </w:r>
      <w:r>
        <w:rPr>
          <w:rFonts w:hint="eastAsia" w:ascii="新宋体" w:hAnsi="新宋体" w:eastAsia="新宋体"/>
        </w:rPr>
        <w:t>本项目所有产品中标后验收时提供原厂三年售后服务承诺函。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/>
        </w:rPr>
      </w:pPr>
    </w:p>
    <w:bookmarkEnd w:id="0"/>
    <w:p>
      <w:pPr>
        <w:spacing w:line="360" w:lineRule="auto"/>
        <w:ind w:firstLine="602" w:firstLineChars="250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二、具体技术要求</w:t>
      </w:r>
    </w:p>
    <w:p>
      <w:pPr>
        <w:spacing w:line="360" w:lineRule="auto"/>
        <w:ind w:firstLine="422" w:firstLineChars="200"/>
        <w:rPr>
          <w:rFonts w:hint="eastAsia" w:ascii="新宋体" w:hAnsi="新宋体" w:eastAsia="新宋体" w:cs="Arial"/>
          <w:b/>
          <w:szCs w:val="21"/>
        </w:rPr>
      </w:pPr>
      <w:r>
        <w:rPr>
          <w:rFonts w:ascii="新宋体" w:hAnsi="新宋体" w:eastAsia="新宋体" w:cs="Arial"/>
          <w:b/>
          <w:szCs w:val="21"/>
        </w:rPr>
        <w:t>说明： 招标技术要求中，用</w:t>
      </w:r>
      <w:r>
        <w:rPr>
          <w:rFonts w:ascii="新宋体" w:hAnsi="新宋体" w:eastAsia="新宋体" w:cs="Arial"/>
          <w:kern w:val="0"/>
          <w:szCs w:val="21"/>
        </w:rPr>
        <w:t>▲</w:t>
      </w:r>
      <w:r>
        <w:rPr>
          <w:rFonts w:ascii="新宋体" w:hAnsi="新宋体" w:eastAsia="新宋体" w:cs="Arial"/>
          <w:b/>
          <w:szCs w:val="21"/>
        </w:rPr>
        <w:t>体标注条款为要求提供证明资料的条款，共</w:t>
      </w:r>
      <w:r>
        <w:rPr>
          <w:rFonts w:ascii="新宋体" w:hAnsi="新宋体" w:eastAsia="新宋体" w:cs="Arial"/>
          <w:b/>
          <w:szCs w:val="21"/>
          <w:u w:val="single"/>
        </w:rPr>
        <w:t xml:space="preserve">  </w:t>
      </w:r>
      <w:r>
        <w:rPr>
          <w:rFonts w:hint="eastAsia" w:ascii="新宋体" w:hAnsi="新宋体" w:eastAsia="新宋体" w:cs="Arial"/>
          <w:b/>
          <w:szCs w:val="21"/>
          <w:u w:val="single"/>
        </w:rPr>
        <w:t>6</w:t>
      </w:r>
      <w:r>
        <w:rPr>
          <w:rFonts w:ascii="新宋体" w:hAnsi="新宋体" w:eastAsia="新宋体" w:cs="Arial"/>
          <w:b/>
          <w:szCs w:val="21"/>
          <w:u w:val="single"/>
        </w:rPr>
        <w:t xml:space="preserve"> </w:t>
      </w:r>
      <w:r>
        <w:rPr>
          <w:rFonts w:ascii="新宋体" w:hAnsi="新宋体" w:eastAsia="新宋体" w:cs="Arial"/>
          <w:b/>
          <w:szCs w:val="21"/>
        </w:rPr>
        <w:t>项，其余为未要求提供证明资料的条款，无需提供相关证明资料。评分时，如对一项招标技术要求（以划分框为准）中的内容存在两处（或以上）负偏离的，在评分时只作一项负偏离扣分。</w:t>
      </w:r>
      <w:r>
        <w:rPr>
          <w:rFonts w:ascii="新宋体" w:hAnsi="新宋体" w:eastAsia="新宋体" w:cs="Segoe UI Symbol"/>
          <w:b/>
          <w:bCs/>
          <w:kern w:val="0"/>
          <w:szCs w:val="21"/>
        </w:rPr>
        <w:t>※</w:t>
      </w:r>
    </w:p>
    <w:p>
      <w:pPr>
        <w:spacing w:line="360" w:lineRule="auto"/>
        <w:ind w:firstLine="422" w:firstLineChars="200"/>
        <w:rPr>
          <w:rFonts w:hint="eastAsia" w:ascii="新宋体" w:hAnsi="新宋体" w:eastAsia="新宋体" w:cs="Arial"/>
          <w:b/>
          <w:color w:val="FF0000"/>
          <w:szCs w:val="21"/>
        </w:rPr>
      </w:pPr>
      <w:r>
        <w:rPr>
          <w:rFonts w:ascii="新宋体" w:hAnsi="新宋体" w:eastAsia="新宋体" w:cs="Arial"/>
          <w:b/>
          <w:color w:val="FF0000"/>
          <w:szCs w:val="21"/>
        </w:rPr>
        <w:t>标记“</w:t>
      </w:r>
      <w:r>
        <w:rPr>
          <w:rFonts w:ascii="新宋体" w:hAnsi="新宋体" w:eastAsia="新宋体" w:cs="Segoe UI Symbol"/>
          <w:b/>
          <w:color w:val="FF0000"/>
          <w:szCs w:val="21"/>
        </w:rPr>
        <w:t>※</w:t>
      </w:r>
      <w:r>
        <w:rPr>
          <w:rFonts w:ascii="新宋体" w:hAnsi="新宋体" w:eastAsia="新宋体" w:cs="Arial"/>
          <w:b/>
          <w:color w:val="FF0000"/>
          <w:szCs w:val="21"/>
        </w:rPr>
        <w:t>”的参数为技术要求不可偏离项，供应商响应负偏离即导致投标无效。</w:t>
      </w:r>
    </w:p>
    <w:tbl>
      <w:tblPr>
        <w:tblStyle w:val="8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15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56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00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/>
                <w:szCs w:val="21"/>
              </w:rPr>
              <w:t>货物</w:t>
            </w:r>
            <w:r>
              <w:rPr>
                <w:rFonts w:ascii="新宋体" w:hAnsi="新宋体" w:eastAsia="新宋体" w:cs="Arial"/>
                <w:b/>
                <w:szCs w:val="21"/>
              </w:rPr>
              <w:br w:type="textWrapping"/>
            </w:r>
            <w:r>
              <w:rPr>
                <w:rFonts w:ascii="新宋体" w:hAnsi="新宋体" w:eastAsia="新宋体" w:cs="Arial"/>
                <w:b/>
                <w:szCs w:val="21"/>
              </w:rPr>
              <w:t>名称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/>
                <w:szCs w:val="21"/>
              </w:rPr>
              <w:t>招标技术要求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56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00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会议业务管理平台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.1总体要求：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/>
                <w:kern w:val="0"/>
                <w:szCs w:val="21"/>
              </w:rPr>
              <w:t>采用B/S构架、独立硬件服务器，非MCU内置模块，实现会议管理、设备管理、会议控制等功能，</w:t>
            </w:r>
            <w:r>
              <w:rPr>
                <w:rFonts w:ascii="新宋体" w:hAnsi="新宋体" w:eastAsia="新宋体"/>
                <w:bCs/>
                <w:kern w:val="0"/>
                <w:szCs w:val="21"/>
              </w:rPr>
              <w:t>须与MCU同品牌，满足</w:t>
            </w:r>
            <w:r>
              <w:rPr>
                <w:rFonts w:hint="eastAsia" w:ascii="新宋体" w:hAnsi="新宋体" w:eastAsia="新宋体"/>
                <w:bCs/>
                <w:kern w:val="0"/>
                <w:szCs w:val="21"/>
                <w:highlight w:val="yellow"/>
              </w:rPr>
              <w:t>100</w:t>
            </w:r>
            <w:r>
              <w:rPr>
                <w:rFonts w:ascii="新宋体" w:hAnsi="新宋体" w:eastAsia="新宋体"/>
                <w:bCs/>
                <w:kern w:val="0"/>
                <w:szCs w:val="21"/>
              </w:rPr>
              <w:t>个设备注册</w:t>
            </w:r>
            <w:r>
              <w:rPr>
                <w:rFonts w:hint="eastAsia" w:ascii="新宋体" w:hAnsi="新宋体" w:eastAsia="新宋体"/>
                <w:bCs/>
                <w:kern w:val="0"/>
                <w:szCs w:val="21"/>
              </w:rPr>
              <w:t>，10</w:t>
            </w:r>
            <w:r>
              <w:rPr>
                <w:rFonts w:hint="eastAsia" w:ascii="新宋体" w:hAnsi="新宋体" w:eastAsia="新宋体"/>
                <w:bCs/>
                <w:color w:val="FF0000"/>
                <w:kern w:val="0"/>
                <w:szCs w:val="21"/>
              </w:rPr>
              <w:t>个</w:t>
            </w:r>
            <w:r>
              <w:rPr>
                <w:rFonts w:ascii="新宋体" w:hAnsi="新宋体" w:eastAsia="新宋体"/>
                <w:bCs/>
                <w:color w:val="FF0000"/>
                <w:kern w:val="0"/>
                <w:szCs w:val="21"/>
              </w:rPr>
              <w:t>PC</w:t>
            </w:r>
            <w:r>
              <w:rPr>
                <w:rFonts w:hint="eastAsia" w:ascii="新宋体" w:hAnsi="新宋体" w:eastAsia="新宋体"/>
                <w:bCs/>
                <w:color w:val="FF0000"/>
                <w:kern w:val="0"/>
                <w:szCs w:val="21"/>
              </w:rPr>
              <w:t>软终端注册</w:t>
            </w:r>
            <w:r>
              <w:rPr>
                <w:rFonts w:ascii="新宋体" w:hAnsi="新宋体" w:eastAsia="新宋体"/>
                <w:bCs/>
                <w:kern w:val="0"/>
                <w:szCs w:val="21"/>
              </w:rPr>
              <w:t>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 w:cs="Arial"/>
                <w:bCs/>
                <w:kern w:val="0"/>
                <w:szCs w:val="21"/>
              </w:rPr>
              <w:t>支持与现网视频会议系统兼容，高可靠组网。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.2呼叫控制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支持SIP/H.323注册服务器双机热备部署，实现业务无缝切换。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支持最大设备数量不少于10000个，最大注册数不少于1000路，最大呼叫并发数不少于1000路。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.3资源池功能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▲支持并提供资源池功能，将多台不同型号的MCU组成资源池，实现MCU资源统一管理，具备负载均衡功能，平台可根据MCU资源使用情况，动态分配MCU资源；当会议超出单个MCU容量时，系统将会议分布到多个MCU上。须提供第三方权威机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.4会议控制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支持设置主席、一键静闭音、广播/选看会场、设置多画面、多画面轮询、摄像机PTZ控制、锁定会议演示、指定会场辅流发送、声控切换、点名等功能。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56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600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会议多点控制单元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.1总体要求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采用电信级、插卡式结构设计，支持板卡扩容满足系统容量平滑升级。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支持与现网MCU兼容，靠可靠组网。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.2容量及性能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本次项目所投MCU配置不少于48路1080P30fps全编全解端口，满足同时召开不少于10组24分屏的1080P30混速混协议会议。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支持灵活的端口资源分配功能：1 个1080P@60fps 端口可拆分为 2 个1080P@30fps 端口、或者 4 个720P@30fps端口。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  <w:highlight w:val="yellow"/>
              </w:rPr>
              <w:t>▲系统容量最大支持不少于</w:t>
            </w:r>
            <w:r>
              <w:rPr>
                <w:rFonts w:hint="eastAsia" w:ascii="新宋体" w:hAnsi="新宋体" w:eastAsia="新宋体" w:cs="Arial"/>
                <w:kern w:val="0"/>
                <w:szCs w:val="21"/>
                <w:highlight w:val="yellow"/>
              </w:rPr>
              <w:t>48</w:t>
            </w:r>
            <w:r>
              <w:rPr>
                <w:rFonts w:ascii="新宋体" w:hAnsi="新宋体" w:eastAsia="新宋体" w:cs="Arial"/>
                <w:kern w:val="0"/>
                <w:szCs w:val="21"/>
                <w:highlight w:val="yellow"/>
              </w:rPr>
              <w:t>个1080P60fps或者</w:t>
            </w:r>
            <w:r>
              <w:rPr>
                <w:rFonts w:hint="eastAsia" w:ascii="新宋体" w:hAnsi="新宋体" w:eastAsia="新宋体" w:cs="Arial"/>
                <w:kern w:val="0"/>
                <w:szCs w:val="21"/>
                <w:highlight w:val="yellow"/>
              </w:rPr>
              <w:t>96</w:t>
            </w:r>
            <w:r>
              <w:rPr>
                <w:rFonts w:ascii="新宋体" w:hAnsi="新宋体" w:eastAsia="新宋体" w:cs="Arial"/>
                <w:kern w:val="0"/>
                <w:szCs w:val="21"/>
                <w:highlight w:val="yellow"/>
              </w:rPr>
              <w:t>个1080P 30fps或者</w:t>
            </w:r>
            <w:r>
              <w:rPr>
                <w:rFonts w:hint="eastAsia" w:ascii="新宋体" w:hAnsi="新宋体" w:eastAsia="新宋体" w:cs="Arial"/>
                <w:kern w:val="0"/>
                <w:szCs w:val="21"/>
                <w:highlight w:val="yellow"/>
              </w:rPr>
              <w:t>192</w:t>
            </w:r>
            <w:r>
              <w:rPr>
                <w:rFonts w:ascii="新宋体" w:hAnsi="新宋体" w:eastAsia="新宋体" w:cs="Arial"/>
                <w:kern w:val="0"/>
                <w:szCs w:val="21"/>
                <w:highlight w:val="yellow"/>
              </w:rPr>
              <w:t>个720P30fps；须提供第三方权威机构检测报告证明。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.3视频指标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支持ITU-T H.265、H.264、H.264 HP、H.263视频协议。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.4音频指标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支持G.711、G.722、G.722.1、G.722.1C、G.729、G.719、ACC-D、Opus、iLBC音频协议，支持不小于20KHz的双声道宽频音频协议。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.5双流能力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▲支持ITU-T H.239、IETF BFCP双流协议；支持主视频1080p60fps时，辅视频同时实现1080P60fps高清效果。须提供第三方权威机构检测报告证明。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.6多画面功能要求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支持1/2/3/4/5/6/7/8/9/10/13/16/20/24等多画面类型，具有48种或以上多画面模式切换，支持VIP（N+1）格式的多画面（例如5+1、7+1多画面显示）。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.7可靠性要求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▲支持多台MCU组成资源池，实现MCU资源统一管理，根据MCU资源使用情况,动态分配MCU资源，以实现MCU资源负载均衡。须提供第三方权威机构检测报告证明。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.8会议功能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支持给终端会场（含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不同品牌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终端会场）字幕叠加功能，实现SIP、H.323会场同时接入会议时，在多画面模式下均能收到全屏的字幕及横幅。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.9网络适应性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具备较强的抗丢包能力：20%丢包下，视频清晰流畅，无卡顿。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为降低网络带宽支出，以1Mbps带宽实现1080P60fps会议效果；以512Kbps带宽实现1080P30fps会议效果；以384Kbps带宽实现720P30fps会议效果。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2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.10</w:t>
            </w: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网络安全性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系统Telnet、SSH等远程管理服务，支持特定IP地址访问控制。设备可指定维护管理物理网口，支持业务与管理物理网口的隔离</w:t>
            </w: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56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600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高清视讯终端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.1总体要求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采用嵌入式操作系统，非Windows、Android系统，非PC、工控机架构。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可以无缝接入现网视频会议系统与此投标视频会议系统。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.2呼叫带宽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支持并提供64Kbps-8Mbps接入速率。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.3视频指标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支持H.263、H.263+、H.264、H.264HP、H.264SVC等图像编码协议。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所投终端支持SVC协议。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支持1080P 50/60帧、1080P 25/30帧、1080i 50/60帧、720P 50/ 60帧、720P 25/30帧、4CIF、 CIF。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.4音频指标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支持G.711、G.722、G.722.1、G.722.1C、G.728、G.719、G.729A、AAC-LD等音频协议，且满足不少于三种20KHZ以上的宽频音频协议，支持双声道立体声功能。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.5双流指标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支持主流达到1080P60情况下，辅流支持1080P60。须提供第三方权威机构检测报告证明。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.6接口要求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提供至少4路高清视频输入、至少4路高清视频输出接口，同时至少支持1路标清视频的输入输出；至少具备以下接口类型，非线缆转接实现：HDMI/VGA/3G-SD。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支持6路音频输入和6路音频输出接口，至少具备以下接口类型：卡农头、SPDIF数字音频接口。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支持不少于2个10M/100M/1000M自适应网口。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.7网络适应性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▲支持768Kbps会议带宽下，实现1080P60帧图像格式编解码；512Kbps会议带宽下，实现1080P30帧图像格式编解码；384Kbps会议带宽下，实现720P30帧图像格式编解码。</w:t>
            </w:r>
            <w:r>
              <w:rPr>
                <w:rFonts w:ascii="新宋体" w:hAnsi="新宋体" w:eastAsia="新宋体" w:cs="Arial"/>
                <w:b/>
                <w:bCs/>
                <w:color w:val="000000"/>
                <w:kern w:val="0"/>
                <w:szCs w:val="21"/>
              </w:rPr>
              <w:t>须提供第三方权威机构检测报告证明。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3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.8安全指标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支持在H.323协议下，H.235信令加密；支持在sip下，TLS、SRTP加密；支持 AES媒体流加密算法，保证会议安全。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56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600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终端配套件（高清摄像机）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4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.1总体要求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所投产品必须与高清终端同一品牌；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支持图像倒转功能，方便摄像机安装在天花板上。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4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.2镜头规格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支持12倍光学变焦，12倍数字变焦；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▲支持1080P 50/60fps、1080i 50/60、1080p 25/30、720P50/60fps视频采集。须提供第三方权威机构检测报告证明。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支持不小于238万像素1/2.8英寸CMOS成像芯片；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支持不小于72°水平视角，增加外置广角镜视为不满足。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须提供第三方权威机构检测报告证明。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转动范围：+/-100°(平移)、+/- 30°(俯仰)；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支持不少于30个预置位。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4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.3接口要求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ab/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支持三合一接口，摄像机与终端一根线缆可同时实现视频、控制信号的传输以及对摄像机进行供电的要求；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支持至少1路3G-SDI、1路DVI/YpbPr高清视频信号输出；</w:t>
            </w:r>
          </w:p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支持1080P60fps视频信号远距离传输，传输距离不小于100米，方便大型会议室摄像机远距离布置。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4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.4功能要求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kern w:val="0"/>
                <w:szCs w:val="21"/>
              </w:rPr>
              <w:t>支持红外透传功能，实现终端遥控器通过摄像机控制机房内会议终端，方便调试</w:t>
            </w: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600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信号管理平台系统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  <w:t>功能要求</w:t>
            </w:r>
            <w:r>
              <w:rPr>
                <w:rFonts w:ascii="新宋体" w:hAnsi="新宋体" w:eastAsia="新宋体" w:cs="Segoe UI Symbol"/>
                <w:kern w:val="0"/>
                <w:szCs w:val="21"/>
              </w:rPr>
              <w:br w:type="textWrapping"/>
            </w:r>
            <w:r>
              <w:rPr>
                <w:rFonts w:hint="eastAsia"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1. 支持1-32路视频信号输入输出切换，25-32路为固定输出；1-24通道自定义输入输出；通过板卡自适应识别；单卡单路设计，灵活配置应用；支持HDMI 2.0；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2. 19.5Gbps数据速率的数字背板；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3. 输入支持HDMI、HDBaseT双绞线、OPTIC光纤、DVI、SDI、VGA、YPBPR、CVBS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4. 输出支持HDMI、HDBaseT双绞线、OPTIC光纤、DVI、SDI、VGA、YPBPR、CVBS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5. 支持EDID管理，允许读取输出设备EDID或储存的EDID并应用到任意输入卡上，系统可以自动生成EDID，解决兼容性问题；支持EDID上传、下载、备份；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6. 支持HDCP管理，可设置加密和解密HDCP内容，确保信源正常显示；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7. 支持全插槽板卡热插拔功能；支持通道供电智能管理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8. 支持无缝切换输出，输出分辨率可调；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10. 内置音频矩阵功能,支持音频自由切换和音频加解嵌功能；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11. 支持冗余电源供电；冗余电源双备热备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12. 支持场景预置和调用；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13. 前面板设有5英寸LCD液晶多点触控电容屏，实时显示当前设备输入输出及工作状态；实时显示矩阵运行温度；矩阵温度超过60摄氏度自动报警；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14.插卡式可编程中控功能：RS232，IR，I/O,继电器控制卡,HDBT控制信号透传 支持电脑/平板电脑/手机和登入网页来控制；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15. 实时通过WEB查看输入输出设备的信号与连接状态；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16. 提供专有APP控制软件，与及WEB界面，方便网络化的控制；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17.支持信号单机/双机热备份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Segoe UI Symbol"/>
                <w:b/>
                <w:bCs/>
                <w:kern w:val="0"/>
                <w:szCs w:val="21"/>
              </w:rPr>
              <w:t>※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18.通道电源智能管理；可通过手动和自动管理，节能环保延长板卡使用寿命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19. 双向或单向RS-232串口:8路; 可编程数字I/O输入:8路; DB9可编程双向串行通讯口(RS-232) ：4路（485):4路路;RJ45 10M/100M以太网接口:1路; 隔离低压继电器(常开触点):8路; 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20. 系统配置复位按钮；网络控制、网络上传、网络级联内嵌TL-MUI+多用户控制软件；内嵌TL-BS2.0浏览器控制软件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br w:type="textWrapping"/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21.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需将控制系统部署在不小于7.9英寸128G以上平板做智能会议场景</w:t>
            </w:r>
          </w:p>
          <w:p>
            <w:pPr>
              <w:spacing w:line="276" w:lineRule="auto"/>
              <w:ind w:left="420"/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证书：提供3C CE FCC ISO9001 第三方检测报告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56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600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hAnsi="新宋体" w:eastAsia="新宋体" w:cs="Arial"/>
                <w:bCs/>
                <w:szCs w:val="21"/>
              </w:rPr>
              <w:t>42U机柜</w:t>
            </w:r>
          </w:p>
        </w:tc>
        <w:tc>
          <w:tcPr>
            <w:tcW w:w="4044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前门单开，后门双开平板六角网孔门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尺寸：600宽*600深*42U高度2055mm</w:t>
            </w:r>
          </w:p>
          <w:p>
            <w:pPr>
              <w:spacing w:line="276" w:lineRule="auto"/>
              <w:rPr>
                <w:rFonts w:hint="eastAsia" w:ascii="新宋体" w:hAnsi="新宋体" w:eastAsia="新宋体" w:cs="Arial"/>
                <w:kern w:val="0"/>
                <w:szCs w:val="21"/>
              </w:rPr>
            </w:pP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配置：8位国标电源排插</w:t>
            </w:r>
            <w:r>
              <w:rPr>
                <w:rFonts w:ascii="新宋体" w:hAnsi="新宋体" w:eastAsia="新宋体" w:cs="Arial"/>
                <w:kern w:val="0"/>
                <w:szCs w:val="21"/>
              </w:rPr>
              <w:t>3</w:t>
            </w:r>
            <w:r>
              <w:rPr>
                <w:rFonts w:hint="eastAsia" w:ascii="新宋体" w:hAnsi="新宋体" w:eastAsia="新宋体" w:cs="Arial"/>
                <w:kern w:val="0"/>
                <w:szCs w:val="21"/>
              </w:rPr>
              <w:t>个，固定板3块，风扇2套，2”重型脚轮4只，M12支脚4只，M6方螺母螺钉40套，1只内六角扳手。</w:t>
            </w: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hint="eastAsia" w:ascii="新宋体" w:hAnsi="新宋体" w:eastAsia="新宋体"/>
        <w:kern w:val="0"/>
        <w:sz w:val="18"/>
        <w:szCs w:val="18"/>
        <w:lang w:val="zh-CN" w:eastAsia="zh-CN"/>
      </w:rPr>
      <w:t>深圳市瑞凝信招标咨询有限公司</w:t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                     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 xml:space="preserve">                                </w:t>
    </w:r>
    <w:r>
      <w:rPr>
        <w:rFonts w:hint="eastAsia" w:ascii="新宋体" w:hAnsi="新宋体" w:eastAsia="新宋体"/>
        <w:bCs/>
        <w:kern w:val="0"/>
        <w:sz w:val="18"/>
        <w:szCs w:val="18"/>
        <w:lang w:val="zh-CN" w:eastAsia="zh-CN"/>
      </w:rPr>
      <w:t>招标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文件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060"/>
        <w:tab w:val="clear" w:pos="4153"/>
        <w:tab w:val="clear" w:pos="8306"/>
      </w:tabs>
      <w:spacing w:line="360" w:lineRule="auto"/>
      <w:ind w:firstLine="90" w:firstLineChars="50"/>
      <w:jc w:val="left"/>
      <w:rPr>
        <w:rFonts w:ascii="新宋体" w:hAnsi="新宋体" w:eastAsia="新宋体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4234"/>
    <w:multiLevelType w:val="multilevel"/>
    <w:tmpl w:val="56714234"/>
    <w:lvl w:ilvl="0" w:tentative="0">
      <w:start w:val="1"/>
      <w:numFmt w:val="chineseCountingThousand"/>
      <w:pStyle w:val="19"/>
      <w:lvlText w:val="%1、"/>
      <w:lvlJc w:val="left"/>
      <w:pPr>
        <w:ind w:left="0" w:firstLine="601"/>
      </w:pPr>
      <w:rPr>
        <w:rFonts w:hint="eastAsia" w:ascii="黑体" w:hAnsi="黑体" w:eastAsia="黑体"/>
        <w:sz w:val="24"/>
        <w:szCs w:val="24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109" w:firstLine="601"/>
      </w:pPr>
      <w:rPr>
        <w:rFonts w:hint="eastAsia" w:eastAsia="仿宋_GB2312"/>
        <w:b w:val="0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1100" w:firstLine="601"/>
      </w:pPr>
      <w:rPr>
        <w:rFonts w:hint="eastAsia" w:eastAsia="仿宋_GB2312"/>
        <w:sz w:val="32"/>
        <w:lang w:val="en-US"/>
      </w:rPr>
    </w:lvl>
    <w:lvl w:ilvl="4" w:tentative="0">
      <w:start w:val="1"/>
      <w:numFmt w:val="lowerLetter"/>
      <w:lvlText w:val="%5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701"/>
        </w:tabs>
        <w:ind w:left="0" w:firstLine="601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701"/>
        </w:tabs>
        <w:ind w:left="0" w:firstLine="60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  <w:rsid w:val="369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列表段落 字符"/>
    <w:link w:val="13"/>
    <w:qFormat/>
    <w:locked/>
    <w:uiPriority w:val="34"/>
  </w:style>
  <w:style w:type="paragraph" w:styleId="13">
    <w:name w:val="List Paragraph"/>
    <w:basedOn w:val="1"/>
    <w:link w:val="12"/>
    <w:qFormat/>
    <w:uiPriority w:val="34"/>
    <w:pPr>
      <w:ind w:firstLine="420"/>
    </w:pPr>
  </w:style>
  <w:style w:type="paragraph" w:customStyle="1" w:styleId="14">
    <w:name w:val="正文 首行缩进:  2 字符"/>
    <w:basedOn w:val="1"/>
    <w:link w:val="15"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  <w:lang w:val="zh-CN" w:eastAsia="zh-CN"/>
    </w:rPr>
  </w:style>
  <w:style w:type="character" w:customStyle="1" w:styleId="15">
    <w:name w:val="正文 首行缩进:  2 字符 Char"/>
    <w:link w:val="14"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16">
    <w:name w:val="标题 2 字符"/>
    <w:basedOn w:val="9"/>
    <w:link w:val="2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17">
    <w:name w:val="标题 4 字符"/>
    <w:basedOn w:val="9"/>
    <w:link w:val="3"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8">
    <w:name w:val="ALT+1 附件层级标题一 Char"/>
    <w:link w:val="19"/>
    <w:uiPriority w:val="0"/>
    <w:rPr>
      <w:rFonts w:eastAsia="黑体"/>
      <w:sz w:val="32"/>
      <w:szCs w:val="24"/>
    </w:rPr>
  </w:style>
  <w:style w:type="paragraph" w:customStyle="1" w:styleId="19">
    <w:name w:val="ALT+1 附件层级标题一"/>
    <w:basedOn w:val="1"/>
    <w:link w:val="18"/>
    <w:qFormat/>
    <w:uiPriority w:val="0"/>
    <w:pPr>
      <w:numPr>
        <w:ilvl w:val="0"/>
        <w:numId w:val="1"/>
      </w:numPr>
      <w:tabs>
        <w:tab w:val="left" w:pos="1418"/>
      </w:tabs>
      <w:spacing w:line="560" w:lineRule="exact"/>
      <w:jc w:val="left"/>
      <w:outlineLvl w:val="0"/>
    </w:pPr>
    <w:rPr>
      <w:rFonts w:eastAsia="黑体" w:asciiTheme="minorHAnsi" w:hAnsiTheme="minorHAnsi" w:cstheme="minorBidi"/>
      <w:sz w:val="32"/>
      <w:szCs w:val="24"/>
    </w:rPr>
  </w:style>
  <w:style w:type="character" w:customStyle="1" w:styleId="20">
    <w:name w:val="ALT+3 附件层级标题三 Char"/>
    <w:link w:val="21"/>
    <w:uiPriority w:val="0"/>
    <w:rPr>
      <w:rFonts w:eastAsia="仿宋_GB2312"/>
      <w:sz w:val="32"/>
      <w:szCs w:val="24"/>
    </w:rPr>
  </w:style>
  <w:style w:type="paragraph" w:customStyle="1" w:styleId="21">
    <w:name w:val="ALT+3 附件层级标题三"/>
    <w:basedOn w:val="1"/>
    <w:link w:val="20"/>
    <w:qFormat/>
    <w:uiPriority w:val="0"/>
    <w:pPr>
      <w:tabs>
        <w:tab w:val="left" w:pos="360"/>
        <w:tab w:val="left" w:pos="1260"/>
      </w:tabs>
      <w:spacing w:line="560" w:lineRule="exact"/>
      <w:ind w:hanging="420"/>
      <w:outlineLvl w:val="2"/>
    </w:pPr>
    <w:rPr>
      <w:rFonts w:eastAsia="仿宋_GB2312" w:asciiTheme="minorHAnsi" w:hAnsiTheme="minorHAnsi" w:cstheme="minorBidi"/>
      <w:sz w:val="32"/>
      <w:szCs w:val="24"/>
    </w:rPr>
  </w:style>
  <w:style w:type="paragraph" w:customStyle="1" w:styleId="22">
    <w:name w:val="ALT+Z 附件正文1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23">
    <w:name w:val="纯文本 Char"/>
    <w:basedOn w:val="9"/>
    <w:semiHidden/>
    <w:uiPriority w:val="99"/>
    <w:rPr>
      <w:rFonts w:ascii="宋体" w:hAnsi="Courier New" w:eastAsia="宋体" w:cs="Courier New"/>
      <w:szCs w:val="21"/>
    </w:rPr>
  </w:style>
  <w:style w:type="character" w:customStyle="1" w:styleId="24">
    <w:name w:val="纯文本 字符"/>
    <w:link w:val="4"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5">
    <w:name w:val="批注框文本 字符"/>
    <w:basedOn w:val="9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纯文本 Char2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255</Words>
  <Characters>1454</Characters>
  <Lines>12</Lines>
  <Paragraphs>3</Paragraphs>
  <TotalTime>0</TotalTime>
  <ScaleCrop>false</ScaleCrop>
  <LinksUpToDate>false</LinksUpToDate>
  <CharactersWithSpaces>1706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Administrator</cp:lastModifiedBy>
  <dcterms:modified xsi:type="dcterms:W3CDTF">2020-09-02T10:52:19Z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