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招标项目要求</w:t>
      </w:r>
    </w:p>
    <w:p>
      <w:pPr>
        <w:pStyle w:val="4"/>
        <w:spacing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关键需求指标：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1.优化房地产交易系统流程、资料清单及出具文书，具体改造内容包括：对房地产相关涉税事项进行分类、合并、压缩调整，压缩房地产减免税优惠事项办理环节；合并房地产减免税优惠事项；减少纳税人报送资料的数量；压缩税务机关出具的文书，切实有效地压缩纳税人办理房地产交易涉税事项的时间和成本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2. 为提高服务质量，方便纳税人与税务人员的沟通，当纳税人对审核结果有异议时，能够及时与相应的税务人员进行沟通，因此需对房地产交易计税价格复核、个人所得税相关费用核实、个人土地增值税扣除费用核实、特殊类登记计税审核四个功能的审批流程进行优化改造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3. 纳税人在微信上进行特殊类申报缴款，税务局与银行进行对账，将对账成功的数据申报到核心系统。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4. 微信上新增房产减免税事项申请功能，并可上传附送资料，上传的附送资料可以进行OCR识别。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5. 微信上新增房产原价过户申请功能，并可上传附送资料，上传的附送资料可以进行OCR识别。同时，税务人员可在特软完成申请流程审核操作。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6. 微信上新增土地增值税扣除项目核实申请功能，并可上传附送资料，上传的附送资料可以进行OCR识别。同时，税务人员可在特软完成申请流程审核操作。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7. 微信上新增个人所得税费用核实申请功能，并可上传附送资料，上传的附送资料可以进行OCR识别。同时，税务人员可在特软完成申请流程审核操作。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8. 微信上新增特殊房产交易申报征收功能，包括信息采集、在线申报、在线缴税，可上传附送资料，上传的附送资料可以进行OCR识别。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9. 微信上新增申请事项进度查询功能，纳税人可以实时查询自己申请的办理事项进度情况，可下钻查看明细信息，方便纳税人了解申办事项的状态。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10. 微信上新增房地产交易涉税事项通知书查询、生成、保存功能，可查看通知书明细信息，方便纳税人办税的同时，也提升了办税效率。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11. 微信上新增消息推送功能，包括涉税事项提交通知、审核结果通知，方便纳税人实时掌握事项申请、审核情况。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74" w:right="1418" w:bottom="1247" w:left="1418" w:header="737" w:footer="567" w:gutter="17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>
    <w:pPr>
      <w:tabs>
        <w:tab w:val="left" w:pos="2712"/>
      </w:tabs>
      <w:snapToGrid w:val="0"/>
      <w:spacing w:line="360" w:lineRule="auto"/>
      <w:jc w:val="left"/>
      <w:rPr>
        <w:lang w:val="zh-CN"/>
      </w:rPr>
    </w:pPr>
    <w:r>
      <w:rPr>
        <w:rFonts w:hint="eastAsia" w:ascii="新宋体" w:hAnsi="新宋体" w:eastAsia="新宋体"/>
        <w:kern w:val="0"/>
        <w:sz w:val="18"/>
        <w:szCs w:val="18"/>
        <w:lang w:val="zh-CN" w:eastAsia="zh-CN"/>
      </w:rPr>
      <w:t>深圳市瑞凝信招标咨询有限公司</w:t>
    </w:r>
    <w:r>
      <w:rPr>
        <w:rFonts w:ascii="新宋体" w:hAnsi="新宋体" w:eastAsia="新宋体"/>
        <w:kern w:val="0"/>
        <w:sz w:val="18"/>
        <w:szCs w:val="18"/>
        <w:lang w:val="zh-CN" w:eastAsia="zh-CN"/>
      </w:rPr>
      <w:t xml:space="preserve">                       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instrText xml:space="preserve">PAGE</w:instrTex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5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end"/>
    </w:r>
    <w:r>
      <w:rPr>
        <w:rFonts w:ascii="新宋体" w:hAnsi="新宋体" w:eastAsia="新宋体"/>
        <w:kern w:val="0"/>
        <w:sz w:val="18"/>
        <w:szCs w:val="18"/>
        <w:lang w:val="zh-CN" w:eastAsia="zh-CN"/>
      </w:rPr>
      <w:t xml:space="preserve"> / 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instrText xml:space="preserve">NUMPAGES</w:instrTex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5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fldChar w:fldCharType="end"/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 xml:space="preserve">                                </w:t>
    </w:r>
    <w:r>
      <w:rPr>
        <w:rFonts w:hint="eastAsia" w:ascii="新宋体" w:hAnsi="新宋体" w:eastAsia="新宋体"/>
        <w:bCs/>
        <w:kern w:val="0"/>
        <w:sz w:val="18"/>
        <w:szCs w:val="18"/>
        <w:lang w:val="zh-CN" w:eastAsia="zh-CN"/>
      </w:rPr>
      <w:t>招标</w:t>
    </w:r>
    <w:r>
      <w:rPr>
        <w:rFonts w:ascii="新宋体" w:hAnsi="新宋体" w:eastAsia="新宋体"/>
        <w:bCs/>
        <w:kern w:val="0"/>
        <w:sz w:val="18"/>
        <w:szCs w:val="18"/>
        <w:lang w:val="zh-CN" w:eastAsia="zh-CN"/>
      </w:rPr>
      <w:t>文件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060"/>
        <w:tab w:val="clear" w:pos="4153"/>
        <w:tab w:val="clear" w:pos="8306"/>
      </w:tabs>
      <w:spacing w:line="360" w:lineRule="auto"/>
      <w:ind w:firstLine="90" w:firstLineChars="50"/>
      <w:jc w:val="left"/>
      <w:rPr>
        <w:rFonts w:ascii="新宋体" w:hAnsi="新宋体" w:eastAsia="新宋体"/>
        <w:b/>
      </w:rPr>
    </w:pPr>
    <w:r>
      <w:rPr>
        <w:rFonts w:hint="eastAsia" w:ascii="新宋体" w:hAnsi="新宋体" w:eastAsia="新宋体"/>
      </w:rPr>
      <w:t>项目</w:t>
    </w:r>
    <w:r>
      <w:rPr>
        <w:rFonts w:ascii="新宋体" w:hAnsi="新宋体" w:eastAsia="新宋体"/>
      </w:rPr>
      <w:t>名称：</w:t>
    </w:r>
    <w:r>
      <w:rPr>
        <w:rFonts w:hint="eastAsia" w:ascii="新宋体" w:hAnsi="新宋体" w:eastAsia="新宋体"/>
      </w:rPr>
      <w:t>2020年出口退税审核系统运维</w:t>
    </w:r>
    <w:r>
      <w:rPr>
        <w:rFonts w:ascii="新宋体" w:hAnsi="新宋体" w:eastAsia="新宋体"/>
      </w:rPr>
      <w:t xml:space="preserve">                                     </w:t>
    </w:r>
    <w:r>
      <w:rPr>
        <w:rFonts w:hint="eastAsia" w:ascii="新宋体" w:hAnsi="新宋体" w:eastAsia="新宋体"/>
      </w:rPr>
      <w:t>编号：</w:t>
    </w:r>
    <w:r>
      <w:rPr>
        <w:rFonts w:ascii="新宋体" w:hAnsi="新宋体" w:eastAsia="新宋体"/>
      </w:rPr>
      <w:t>RNX2020020ZC-SZTAX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4234"/>
    <w:multiLevelType w:val="multilevel"/>
    <w:tmpl w:val="56714234"/>
    <w:lvl w:ilvl="0" w:tentative="0">
      <w:start w:val="1"/>
      <w:numFmt w:val="chineseCountingThousand"/>
      <w:pStyle w:val="19"/>
      <w:lvlText w:val="%1、"/>
      <w:lvlJc w:val="left"/>
      <w:pPr>
        <w:ind w:left="0" w:firstLine="601"/>
      </w:pPr>
      <w:rPr>
        <w:rFonts w:hint="eastAsia" w:ascii="黑体" w:hAnsi="黑体" w:eastAsia="黑体"/>
        <w:sz w:val="24"/>
        <w:szCs w:val="24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109" w:firstLine="601"/>
      </w:pPr>
      <w:rPr>
        <w:rFonts w:hint="eastAsia" w:eastAsia="仿宋_GB2312"/>
        <w:b w:val="0"/>
        <w:sz w:val="32"/>
      </w:rPr>
    </w:lvl>
    <w:lvl w:ilvl="3" w:tentative="0">
      <w:start w:val="1"/>
      <w:numFmt w:val="decimal"/>
      <w:suff w:val="nothing"/>
      <w:lvlText w:val="（%4）"/>
      <w:lvlJc w:val="left"/>
      <w:pPr>
        <w:ind w:left="1100" w:firstLine="601"/>
      </w:pPr>
      <w:rPr>
        <w:rFonts w:hint="eastAsia" w:eastAsia="仿宋_GB2312"/>
        <w:sz w:val="32"/>
        <w:lang w:val="en-US"/>
      </w:rPr>
    </w:lvl>
    <w:lvl w:ilvl="4" w:tentative="0">
      <w:start w:val="1"/>
      <w:numFmt w:val="lowerLetter"/>
      <w:lvlText w:val="%5)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701"/>
        </w:tabs>
        <w:ind w:left="0" w:firstLine="601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701"/>
        </w:tabs>
        <w:ind w:left="0" w:firstLine="60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3E24E6"/>
    <w:rsid w:val="003F6B63"/>
    <w:rsid w:val="004D0DE8"/>
    <w:rsid w:val="00584311"/>
    <w:rsid w:val="006C428A"/>
    <w:rsid w:val="00716F37"/>
    <w:rsid w:val="00747605"/>
    <w:rsid w:val="007E0F21"/>
    <w:rsid w:val="0087030C"/>
    <w:rsid w:val="00914F23"/>
    <w:rsid w:val="009338C9"/>
    <w:rsid w:val="00A54676"/>
    <w:rsid w:val="00AC2812"/>
    <w:rsid w:val="00AE721F"/>
    <w:rsid w:val="00B52D07"/>
    <w:rsid w:val="00BD3F95"/>
    <w:rsid w:val="00BE7455"/>
    <w:rsid w:val="00D71CF8"/>
    <w:rsid w:val="00D86C0D"/>
    <w:rsid w:val="00DC19FF"/>
    <w:rsid w:val="00DF745D"/>
    <w:rsid w:val="00E34658"/>
    <w:rsid w:val="00E34D08"/>
    <w:rsid w:val="00EF50EA"/>
    <w:rsid w:val="00F07B67"/>
    <w:rsid w:val="00F5791C"/>
    <w:rsid w:val="00F6067C"/>
    <w:rsid w:val="00FC0479"/>
    <w:rsid w:val="0CC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link w:val="17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列表段落 字符"/>
    <w:link w:val="13"/>
    <w:qFormat/>
    <w:locked/>
    <w:uiPriority w:val="34"/>
  </w:style>
  <w:style w:type="paragraph" w:styleId="13">
    <w:name w:val="List Paragraph"/>
    <w:basedOn w:val="1"/>
    <w:link w:val="12"/>
    <w:qFormat/>
    <w:uiPriority w:val="34"/>
    <w:pPr>
      <w:ind w:firstLine="420"/>
    </w:pPr>
  </w:style>
  <w:style w:type="paragraph" w:customStyle="1" w:styleId="14">
    <w:name w:val="正文 首行缩进:  2 字符"/>
    <w:basedOn w:val="1"/>
    <w:link w:val="15"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  <w:lang w:val="zh-CN" w:eastAsia="zh-CN"/>
    </w:rPr>
  </w:style>
  <w:style w:type="character" w:customStyle="1" w:styleId="15">
    <w:name w:val="正文 首行缩进:  2 字符 Char"/>
    <w:link w:val="14"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character" w:customStyle="1" w:styleId="16">
    <w:name w:val="标题 2 字符"/>
    <w:basedOn w:val="9"/>
    <w:link w:val="2"/>
    <w:qFormat/>
    <w:uiPriority w:val="99"/>
    <w:rPr>
      <w:rFonts w:ascii="Arial" w:hAnsi="Arial" w:eastAsia="黑体" w:cs="Times New Roman"/>
      <w:b/>
      <w:sz w:val="32"/>
    </w:rPr>
  </w:style>
  <w:style w:type="character" w:customStyle="1" w:styleId="17">
    <w:name w:val="标题 4 字符"/>
    <w:basedOn w:val="9"/>
    <w:link w:val="3"/>
    <w:qFormat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18">
    <w:name w:val="ALT+1 附件层级标题一 Char"/>
    <w:link w:val="19"/>
    <w:uiPriority w:val="0"/>
    <w:rPr>
      <w:rFonts w:eastAsia="黑体"/>
      <w:sz w:val="32"/>
      <w:szCs w:val="24"/>
    </w:rPr>
  </w:style>
  <w:style w:type="paragraph" w:customStyle="1" w:styleId="19">
    <w:name w:val="ALT+1 附件层级标题一"/>
    <w:basedOn w:val="1"/>
    <w:link w:val="18"/>
    <w:qFormat/>
    <w:uiPriority w:val="0"/>
    <w:pPr>
      <w:numPr>
        <w:ilvl w:val="0"/>
        <w:numId w:val="1"/>
      </w:numPr>
      <w:tabs>
        <w:tab w:val="left" w:pos="1418"/>
      </w:tabs>
      <w:spacing w:line="560" w:lineRule="exact"/>
      <w:jc w:val="left"/>
      <w:outlineLvl w:val="0"/>
    </w:pPr>
    <w:rPr>
      <w:rFonts w:eastAsia="黑体" w:asciiTheme="minorHAnsi" w:hAnsiTheme="minorHAnsi" w:cstheme="minorBidi"/>
      <w:sz w:val="32"/>
      <w:szCs w:val="24"/>
    </w:rPr>
  </w:style>
  <w:style w:type="character" w:customStyle="1" w:styleId="20">
    <w:name w:val="ALT+3 附件层级标题三 Char"/>
    <w:link w:val="21"/>
    <w:uiPriority w:val="0"/>
    <w:rPr>
      <w:rFonts w:eastAsia="仿宋_GB2312"/>
      <w:sz w:val="32"/>
      <w:szCs w:val="24"/>
    </w:rPr>
  </w:style>
  <w:style w:type="paragraph" w:customStyle="1" w:styleId="21">
    <w:name w:val="ALT+3 附件层级标题三"/>
    <w:basedOn w:val="1"/>
    <w:link w:val="20"/>
    <w:qFormat/>
    <w:uiPriority w:val="0"/>
    <w:pPr>
      <w:tabs>
        <w:tab w:val="left" w:pos="360"/>
        <w:tab w:val="left" w:pos="1260"/>
      </w:tabs>
      <w:spacing w:line="560" w:lineRule="exact"/>
      <w:ind w:hanging="420"/>
      <w:outlineLvl w:val="2"/>
    </w:pPr>
    <w:rPr>
      <w:rFonts w:eastAsia="仿宋_GB2312" w:asciiTheme="minorHAnsi" w:hAnsiTheme="minorHAnsi" w:cstheme="minorBidi"/>
      <w:sz w:val="32"/>
      <w:szCs w:val="24"/>
    </w:rPr>
  </w:style>
  <w:style w:type="paragraph" w:customStyle="1" w:styleId="22">
    <w:name w:val="ALT+Z 附件正文1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character" w:customStyle="1" w:styleId="23">
    <w:name w:val="纯文本 Char"/>
    <w:basedOn w:val="9"/>
    <w:semiHidden/>
    <w:uiPriority w:val="99"/>
    <w:rPr>
      <w:rFonts w:ascii="宋体" w:hAnsi="Courier New" w:eastAsia="宋体" w:cs="Courier New"/>
      <w:szCs w:val="21"/>
    </w:rPr>
  </w:style>
  <w:style w:type="character" w:customStyle="1" w:styleId="24">
    <w:name w:val="纯文本 字符"/>
    <w:link w:val="4"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25">
    <w:name w:val="批注框文本 字符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纯文本 Char2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255</Words>
  <Characters>1454</Characters>
  <Lines>12</Lines>
  <Paragraphs>3</Paragraphs>
  <TotalTime>0</TotalTime>
  <ScaleCrop>false</ScaleCrop>
  <LinksUpToDate>false</LinksUpToDate>
  <CharactersWithSpaces>1706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2018-07-14T05:06:00Z</dcterms:created>
  <dc:creator>瑞凝信</dc:creator>
  <cp:lastModifiedBy>Administrator</cp:lastModifiedBy>
  <dcterms:modified xsi:type="dcterms:W3CDTF">2020-09-02T11:35:54Z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