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黑体" w:hAnsi="黑体" w:eastAsia="黑体"/>
        </w:rPr>
      </w:pPr>
      <w:bookmarkStart w:id="0" w:name="_Toc47827806"/>
      <w:r>
        <w:rPr>
          <w:rFonts w:hint="eastAsia" w:ascii="黑体" w:hAnsi="黑体" w:eastAsia="黑体"/>
        </w:rPr>
        <w:t>第二部分　技术部分</w:t>
      </w:r>
      <w:bookmarkEnd w:id="0"/>
    </w:p>
    <w:p>
      <w:pPr>
        <w:pStyle w:val="3"/>
        <w:jc w:val="center"/>
      </w:pPr>
      <w:bookmarkStart w:id="1" w:name="_Toc47827807"/>
      <w:r>
        <w:rPr>
          <w:rFonts w:hint="eastAsia" w:ascii="Times New Roman" w:hAnsi="Times New Roman"/>
        </w:rPr>
        <w:t>第六章　项目采购需求</w:t>
      </w:r>
      <w:bookmarkEnd w:id="1"/>
    </w:p>
    <w:p>
      <w:pPr>
        <w:pStyle w:val="4"/>
        <w:spacing w:line="360" w:lineRule="auto"/>
        <w:jc w:val="center"/>
        <w:rPr>
          <w:rFonts w:ascii="新宋体" w:hAnsi="新宋体" w:eastAsia="新宋体"/>
          <w:sz w:val="24"/>
          <w:szCs w:val="24"/>
        </w:rPr>
      </w:pPr>
      <w:bookmarkStart w:id="2" w:name="_Toc46257804"/>
      <w:bookmarkStart w:id="3" w:name="_Toc47827808"/>
      <w:r>
        <w:rPr>
          <w:rFonts w:hint="eastAsia" w:ascii="新宋体" w:hAnsi="新宋体" w:eastAsia="新宋体"/>
          <w:sz w:val="24"/>
          <w:szCs w:val="24"/>
        </w:rPr>
        <w:t>第一节 项目概述</w:t>
      </w:r>
      <w:bookmarkEnd w:id="2"/>
      <w:bookmarkEnd w:id="3"/>
    </w:p>
    <w:p>
      <w:pPr>
        <w:pStyle w:val="5"/>
        <w:spacing w:line="360" w:lineRule="auto"/>
        <w:rPr>
          <w:rFonts w:hint="eastAsia" w:ascii="新宋体" w:hAnsi="新宋体" w:eastAsia="新宋体"/>
          <w:sz w:val="24"/>
          <w:szCs w:val="24"/>
        </w:rPr>
      </w:pPr>
      <w:r>
        <w:rPr>
          <w:rFonts w:hint="eastAsia" w:ascii="新宋体" w:hAnsi="新宋体" w:eastAsia="新宋体"/>
          <w:sz w:val="24"/>
          <w:szCs w:val="24"/>
        </w:rPr>
        <w:t>一、采购货物或服务清单</w:t>
      </w:r>
    </w:p>
    <w:tbl>
      <w:tblPr>
        <w:tblStyle w:val="8"/>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3585"/>
        <w:gridCol w:w="701"/>
        <w:gridCol w:w="812"/>
        <w:gridCol w:w="243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242" w:type="dxa"/>
            <w:tcBorders>
              <w:top w:val="double" w:color="auto" w:sz="4" w:space="0"/>
              <w:left w:val="double" w:color="auto" w:sz="4" w:space="0"/>
              <w:bottom w:val="single" w:color="auto" w:sz="4" w:space="0"/>
              <w:right w:val="single" w:color="auto" w:sz="4" w:space="0"/>
            </w:tcBorders>
            <w:noWrap w:val="0"/>
            <w:vAlign w:val="center"/>
          </w:tcPr>
          <w:p>
            <w:pPr>
              <w:spacing w:line="360" w:lineRule="auto"/>
              <w:jc w:val="center"/>
              <w:rPr>
                <w:rFonts w:hint="eastAsia" w:ascii="新宋体" w:hAnsi="新宋体" w:eastAsia="新宋体"/>
                <w:b/>
                <w:bCs/>
                <w:sz w:val="24"/>
                <w:szCs w:val="24"/>
              </w:rPr>
            </w:pPr>
            <w:r>
              <w:rPr>
                <w:rFonts w:hint="eastAsia" w:ascii="新宋体" w:hAnsi="新宋体" w:eastAsia="新宋体"/>
                <w:b/>
                <w:bCs/>
                <w:sz w:val="24"/>
                <w:szCs w:val="24"/>
              </w:rPr>
              <w:t>序号</w:t>
            </w:r>
          </w:p>
        </w:tc>
        <w:tc>
          <w:tcPr>
            <w:tcW w:w="3585"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新宋体" w:hAnsi="新宋体" w:eastAsia="新宋体"/>
                <w:b/>
                <w:bCs/>
                <w:sz w:val="24"/>
                <w:szCs w:val="24"/>
              </w:rPr>
            </w:pPr>
            <w:r>
              <w:rPr>
                <w:rFonts w:hint="eastAsia" w:ascii="新宋体" w:hAnsi="新宋体" w:eastAsia="新宋体"/>
                <w:b/>
                <w:bCs/>
                <w:sz w:val="24"/>
                <w:szCs w:val="24"/>
              </w:rPr>
              <w:t>名称</w:t>
            </w:r>
          </w:p>
        </w:tc>
        <w:tc>
          <w:tcPr>
            <w:tcW w:w="701"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新宋体" w:hAnsi="新宋体" w:eastAsia="新宋体"/>
                <w:b/>
                <w:bCs/>
                <w:sz w:val="24"/>
                <w:szCs w:val="24"/>
              </w:rPr>
            </w:pPr>
            <w:r>
              <w:rPr>
                <w:rFonts w:hint="eastAsia" w:ascii="新宋体" w:hAnsi="新宋体" w:eastAsia="新宋体"/>
                <w:b/>
                <w:bCs/>
                <w:sz w:val="24"/>
                <w:szCs w:val="24"/>
              </w:rPr>
              <w:t>单位</w:t>
            </w:r>
          </w:p>
        </w:tc>
        <w:tc>
          <w:tcPr>
            <w:tcW w:w="812" w:type="dxa"/>
            <w:tcBorders>
              <w:top w:val="doub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新宋体" w:hAnsi="新宋体" w:eastAsia="新宋体"/>
                <w:b/>
                <w:bCs/>
                <w:sz w:val="24"/>
                <w:szCs w:val="24"/>
              </w:rPr>
            </w:pPr>
            <w:r>
              <w:rPr>
                <w:rFonts w:hint="eastAsia" w:ascii="新宋体" w:hAnsi="新宋体" w:eastAsia="新宋体"/>
                <w:b/>
                <w:bCs/>
                <w:sz w:val="24"/>
                <w:szCs w:val="24"/>
              </w:rPr>
              <w:t>数量</w:t>
            </w:r>
          </w:p>
        </w:tc>
        <w:tc>
          <w:tcPr>
            <w:tcW w:w="2436" w:type="dxa"/>
            <w:tcBorders>
              <w:top w:val="double" w:color="auto" w:sz="4" w:space="0"/>
              <w:left w:val="single" w:color="auto" w:sz="4" w:space="0"/>
              <w:bottom w:val="single" w:color="auto" w:sz="4" w:space="0"/>
              <w:right w:val="double" w:color="auto" w:sz="4" w:space="0"/>
            </w:tcBorders>
            <w:noWrap w:val="0"/>
            <w:vAlign w:val="center"/>
          </w:tcPr>
          <w:p>
            <w:pPr>
              <w:spacing w:line="360" w:lineRule="auto"/>
              <w:jc w:val="center"/>
              <w:rPr>
                <w:rFonts w:hint="eastAsia" w:ascii="新宋体" w:hAnsi="新宋体" w:eastAsia="新宋体"/>
                <w:b/>
                <w:bCs/>
                <w:sz w:val="24"/>
                <w:szCs w:val="24"/>
              </w:rPr>
            </w:pPr>
            <w:r>
              <w:rPr>
                <w:rFonts w:hint="eastAsia" w:ascii="新宋体" w:hAnsi="新宋体" w:eastAsia="新宋体"/>
                <w:b/>
                <w:bCs/>
                <w:sz w:val="24"/>
                <w:szCs w:val="24"/>
              </w:rPr>
              <w:t>预算金额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tcBorders>
              <w:top w:val="single" w:color="auto" w:sz="4" w:space="0"/>
              <w:left w:val="double" w:color="auto" w:sz="4" w:space="0"/>
              <w:bottom w:val="double" w:color="auto" w:sz="4" w:space="0"/>
              <w:right w:val="single" w:color="auto" w:sz="4" w:space="0"/>
            </w:tcBorders>
            <w:noWrap w:val="0"/>
            <w:vAlign w:val="center"/>
          </w:tcPr>
          <w:p>
            <w:pPr>
              <w:adjustRightInd w:val="0"/>
              <w:snapToGrid w:val="0"/>
              <w:spacing w:line="360" w:lineRule="auto"/>
              <w:jc w:val="center"/>
              <w:rPr>
                <w:rFonts w:hint="eastAsia" w:ascii="新宋体" w:hAnsi="新宋体" w:eastAsia="新宋体" w:cs="Arial Unicode MS"/>
                <w:snapToGrid w:val="0"/>
                <w:kern w:val="0"/>
                <w:sz w:val="24"/>
                <w:szCs w:val="24"/>
              </w:rPr>
            </w:pPr>
            <w:r>
              <w:rPr>
                <w:rFonts w:hint="eastAsia" w:ascii="新宋体" w:hAnsi="新宋体" w:eastAsia="新宋体" w:cs="Arial Unicode MS"/>
                <w:snapToGrid w:val="0"/>
                <w:kern w:val="0"/>
                <w:sz w:val="24"/>
                <w:szCs w:val="24"/>
              </w:rPr>
              <w:t>1</w:t>
            </w:r>
          </w:p>
        </w:tc>
        <w:tc>
          <w:tcPr>
            <w:tcW w:w="3585" w:type="dxa"/>
            <w:tcBorders>
              <w:top w:val="single" w:color="auto" w:sz="4" w:space="0"/>
              <w:left w:val="single" w:color="auto" w:sz="4" w:space="0"/>
              <w:bottom w:val="double" w:color="auto" w:sz="4" w:space="0"/>
              <w:right w:val="single" w:color="auto" w:sz="4" w:space="0"/>
            </w:tcBorders>
            <w:noWrap w:val="0"/>
            <w:vAlign w:val="center"/>
          </w:tcPr>
          <w:p>
            <w:pPr>
              <w:spacing w:line="360" w:lineRule="auto"/>
              <w:jc w:val="center"/>
              <w:rPr>
                <w:rFonts w:hint="eastAsia" w:ascii="新宋体" w:hAnsi="新宋体" w:eastAsia="新宋体"/>
                <w:snapToGrid w:val="0"/>
                <w:sz w:val="24"/>
                <w:szCs w:val="24"/>
              </w:rPr>
            </w:pPr>
            <w:r>
              <w:rPr>
                <w:rFonts w:hint="eastAsia" w:ascii="新宋体" w:hAnsi="新宋体" w:eastAsia="新宋体"/>
                <w:snapToGrid w:val="0"/>
                <w:sz w:val="24"/>
                <w:szCs w:val="24"/>
              </w:rPr>
              <w:t>大数据平台智慧应用建设项目</w:t>
            </w:r>
          </w:p>
        </w:tc>
        <w:tc>
          <w:tcPr>
            <w:tcW w:w="701" w:type="dxa"/>
            <w:tcBorders>
              <w:top w:val="single" w:color="auto" w:sz="4" w:space="0"/>
              <w:left w:val="single" w:color="auto" w:sz="4" w:space="0"/>
              <w:bottom w:val="double" w:color="auto" w:sz="4" w:space="0"/>
              <w:right w:val="single" w:color="auto" w:sz="4" w:space="0"/>
            </w:tcBorders>
            <w:noWrap w:val="0"/>
            <w:vAlign w:val="center"/>
          </w:tcPr>
          <w:p>
            <w:pPr>
              <w:spacing w:line="360" w:lineRule="auto"/>
              <w:jc w:val="center"/>
              <w:rPr>
                <w:rFonts w:hint="eastAsia" w:ascii="新宋体" w:hAnsi="新宋体" w:eastAsia="新宋体"/>
                <w:snapToGrid w:val="0"/>
                <w:sz w:val="24"/>
                <w:szCs w:val="24"/>
              </w:rPr>
            </w:pPr>
            <w:r>
              <w:rPr>
                <w:rFonts w:hint="eastAsia" w:ascii="新宋体" w:hAnsi="新宋体" w:eastAsia="新宋体"/>
                <w:snapToGrid w:val="0"/>
                <w:sz w:val="24"/>
                <w:szCs w:val="24"/>
              </w:rPr>
              <w:t>项</w:t>
            </w:r>
          </w:p>
        </w:tc>
        <w:tc>
          <w:tcPr>
            <w:tcW w:w="812" w:type="dxa"/>
            <w:tcBorders>
              <w:top w:val="single" w:color="auto" w:sz="4" w:space="0"/>
              <w:left w:val="single" w:color="auto" w:sz="4" w:space="0"/>
              <w:bottom w:val="double" w:color="auto" w:sz="4" w:space="0"/>
              <w:right w:val="single" w:color="auto" w:sz="4" w:space="0"/>
            </w:tcBorders>
            <w:noWrap w:val="0"/>
            <w:vAlign w:val="center"/>
          </w:tcPr>
          <w:p>
            <w:pPr>
              <w:spacing w:line="360" w:lineRule="auto"/>
              <w:jc w:val="center"/>
              <w:rPr>
                <w:rFonts w:hint="eastAsia" w:ascii="新宋体" w:hAnsi="新宋体" w:eastAsia="新宋体"/>
                <w:snapToGrid w:val="0"/>
                <w:sz w:val="24"/>
                <w:szCs w:val="24"/>
              </w:rPr>
            </w:pPr>
            <w:r>
              <w:rPr>
                <w:rFonts w:hint="eastAsia" w:ascii="新宋体" w:hAnsi="新宋体" w:eastAsia="新宋体"/>
                <w:snapToGrid w:val="0"/>
                <w:sz w:val="24"/>
                <w:szCs w:val="24"/>
              </w:rPr>
              <w:t>1</w:t>
            </w:r>
          </w:p>
        </w:tc>
        <w:tc>
          <w:tcPr>
            <w:tcW w:w="2436" w:type="dxa"/>
            <w:tcBorders>
              <w:top w:val="single" w:color="auto" w:sz="4" w:space="0"/>
              <w:left w:val="single" w:color="auto" w:sz="4" w:space="0"/>
              <w:bottom w:val="double" w:color="auto" w:sz="4" w:space="0"/>
              <w:right w:val="double" w:color="auto" w:sz="4" w:space="0"/>
            </w:tcBorders>
            <w:noWrap w:val="0"/>
            <w:vAlign w:val="center"/>
          </w:tcPr>
          <w:p>
            <w:pPr>
              <w:spacing w:line="360" w:lineRule="auto"/>
              <w:jc w:val="center"/>
              <w:rPr>
                <w:rFonts w:hint="eastAsia" w:ascii="新宋体" w:hAnsi="新宋体" w:eastAsia="新宋体"/>
                <w:snapToGrid w:val="0"/>
                <w:sz w:val="24"/>
                <w:szCs w:val="24"/>
              </w:rPr>
            </w:pPr>
            <w:r>
              <w:rPr>
                <w:rFonts w:hint="eastAsia" w:ascii="新宋体" w:hAnsi="新宋体" w:eastAsia="新宋体"/>
                <w:snapToGrid w:val="0"/>
                <w:sz w:val="24"/>
                <w:szCs w:val="24"/>
              </w:rPr>
              <w:t>人民币</w:t>
            </w:r>
            <w:r>
              <w:rPr>
                <w:rFonts w:hint="eastAsia" w:ascii="新宋体" w:hAnsi="新宋体" w:eastAsia="新宋体"/>
                <w:snapToGrid w:val="0"/>
                <w:sz w:val="24"/>
                <w:szCs w:val="24"/>
                <w:u w:val="single"/>
              </w:rPr>
              <w:t xml:space="preserve"> 172 </w:t>
            </w:r>
            <w:r>
              <w:rPr>
                <w:rFonts w:hint="eastAsia" w:ascii="新宋体" w:hAnsi="新宋体" w:eastAsia="新宋体"/>
                <w:snapToGrid w:val="0"/>
                <w:sz w:val="24"/>
                <w:szCs w:val="24"/>
              </w:rPr>
              <w:t>万元</w:t>
            </w:r>
          </w:p>
        </w:tc>
      </w:tr>
    </w:tbl>
    <w:p>
      <w:pPr>
        <w:pStyle w:val="5"/>
        <w:spacing w:line="360" w:lineRule="auto"/>
        <w:rPr>
          <w:rFonts w:hint="eastAsia" w:ascii="新宋体" w:hAnsi="新宋体" w:eastAsia="新宋体"/>
          <w:kern w:val="0"/>
          <w:sz w:val="24"/>
          <w:szCs w:val="24"/>
        </w:rPr>
      </w:pPr>
      <w:r>
        <w:rPr>
          <w:rFonts w:hint="eastAsia" w:ascii="新宋体" w:hAnsi="新宋体" w:eastAsia="新宋体"/>
          <w:sz w:val="24"/>
          <w:szCs w:val="24"/>
        </w:rPr>
        <w:t>二、项目简介</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1.项目背景</w:t>
      </w:r>
    </w:p>
    <w:p>
      <w:pPr>
        <w:spacing w:line="360" w:lineRule="auto"/>
        <w:ind w:firstLine="480" w:firstLineChars="200"/>
        <w:rPr>
          <w:rFonts w:hint="eastAsia" w:ascii="新宋体" w:hAnsi="新宋体" w:eastAsia="新宋体"/>
          <w:color w:val="000000"/>
          <w:sz w:val="24"/>
          <w:szCs w:val="24"/>
        </w:rPr>
      </w:pPr>
      <w:r>
        <w:rPr>
          <w:rFonts w:hint="eastAsia" w:ascii="新宋体" w:hAnsi="新宋体" w:eastAsia="新宋体"/>
          <w:color w:val="000000"/>
          <w:sz w:val="24"/>
          <w:szCs w:val="24"/>
        </w:rPr>
        <w:t>随着税收大数据思维理念的深入，税收运转需要更加智慧的数据应用，以支撑业务的高效运转，不管是管理人员还是业务人员都对数据查询的诉求颇高，但有时由于技术等问题受到限制，导致数据获取不及时、不灵活、不可复用，技术人员提供数据工作重复，零散，与智慧的业务设想存在一定的差距。</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2.项目目标</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color w:val="000000"/>
          <w:sz w:val="24"/>
          <w:szCs w:val="24"/>
        </w:rPr>
        <w:t>为建设更加智慧的数据应用，本项目将在“国地税历史数据清理和自定义查询项目”基础上，基于统一的大数据底层基础，提供给用户更加智慧的数据应用。快速满足领导层、管理层、业务人员各类用户对大数据智能云图表展示的个性化需求，满足共性数据服务+用户个性服务的图表生成需求,并支持大数据图表接入各类渠道和其他展示系统。</w:t>
      </w:r>
    </w:p>
    <w:p>
      <w:pPr>
        <w:pStyle w:val="4"/>
        <w:spacing w:line="360" w:lineRule="auto"/>
        <w:jc w:val="center"/>
        <w:rPr>
          <w:rFonts w:hint="eastAsia" w:ascii="新宋体" w:hAnsi="新宋体" w:eastAsia="新宋体"/>
          <w:sz w:val="24"/>
          <w:szCs w:val="24"/>
        </w:rPr>
      </w:pPr>
      <w:bookmarkStart w:id="4" w:name="_Toc46257805"/>
      <w:bookmarkStart w:id="5" w:name="_Toc47827809"/>
      <w:r>
        <w:rPr>
          <w:rFonts w:hint="eastAsia" w:ascii="新宋体" w:hAnsi="新宋体" w:eastAsia="新宋体"/>
          <w:sz w:val="24"/>
          <w:szCs w:val="24"/>
        </w:rPr>
        <w:t>第二节 商务需求</w:t>
      </w:r>
      <w:bookmarkEnd w:id="4"/>
      <w:bookmarkEnd w:id="5"/>
    </w:p>
    <w:p>
      <w:pPr>
        <w:pStyle w:val="5"/>
        <w:spacing w:line="360" w:lineRule="auto"/>
        <w:rPr>
          <w:rFonts w:hint="eastAsia" w:ascii="新宋体" w:hAnsi="新宋体" w:eastAsia="新宋体"/>
          <w:sz w:val="24"/>
          <w:szCs w:val="24"/>
        </w:rPr>
      </w:pPr>
      <w:r>
        <w:rPr>
          <w:rFonts w:hint="eastAsia" w:ascii="新宋体" w:hAnsi="新宋体" w:eastAsia="新宋体"/>
          <w:sz w:val="24"/>
          <w:szCs w:val="24"/>
        </w:rPr>
        <w:t>一、服务期/项目工期</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1、签订合同后六个月内，中标方将完成平台所有的技术开发，交付采购人使用。</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2、维护服务：系统上线终验后至少提供一年的免费维护服务。</w:t>
      </w:r>
    </w:p>
    <w:p>
      <w:pPr>
        <w:pStyle w:val="5"/>
        <w:spacing w:line="360" w:lineRule="auto"/>
        <w:rPr>
          <w:rFonts w:hint="eastAsia" w:ascii="新宋体" w:hAnsi="新宋体" w:eastAsia="新宋体"/>
          <w:sz w:val="24"/>
          <w:szCs w:val="24"/>
        </w:rPr>
      </w:pPr>
      <w:r>
        <w:rPr>
          <w:rFonts w:hint="eastAsia" w:ascii="新宋体" w:hAnsi="新宋体" w:eastAsia="新宋体"/>
          <w:sz w:val="24"/>
          <w:szCs w:val="24"/>
        </w:rPr>
        <w:t>二、知识产权及保密</w:t>
      </w:r>
    </w:p>
    <w:p>
      <w:pPr>
        <w:spacing w:line="360" w:lineRule="auto"/>
        <w:ind w:firstLine="480" w:firstLineChars="200"/>
        <w:rPr>
          <w:rFonts w:hint="eastAsia" w:ascii="新宋体" w:hAnsi="新宋体" w:eastAsia="新宋体"/>
          <w:color w:val="000000"/>
          <w:sz w:val="24"/>
          <w:szCs w:val="24"/>
        </w:rPr>
      </w:pPr>
      <w:r>
        <w:rPr>
          <w:rFonts w:hint="eastAsia" w:ascii="新宋体" w:hAnsi="新宋体" w:eastAsia="新宋体"/>
          <w:color w:val="000000"/>
          <w:sz w:val="24"/>
          <w:szCs w:val="24"/>
        </w:rPr>
        <w:t>1、根据本合同所规定向采购人交付的项目的著作权归采购人所有。（注明：如果项目中使用到投标人享有著作权的成熟软件、工具或其他产品，须在合同中列明。对于以上软件、工具或其他产品，采购人有权在本项目上或本项目的后续维护和开发中使用、开发或委托第三方开发，投标人应提供相关技术文档并提供技术支持）。在履行本合同过程中所创造产生的所有其他知识产权，包括但不限于设计方案、各种说明书、测试数据资料、技术诀窍以及其他技术文档，由采购人依法享有相应权利。</w:t>
      </w:r>
    </w:p>
    <w:p>
      <w:pPr>
        <w:spacing w:line="360" w:lineRule="auto"/>
        <w:ind w:firstLine="480" w:firstLineChars="200"/>
        <w:rPr>
          <w:rFonts w:hint="eastAsia" w:ascii="新宋体" w:hAnsi="新宋体" w:eastAsia="新宋体"/>
          <w:color w:val="000000"/>
          <w:sz w:val="24"/>
          <w:szCs w:val="24"/>
        </w:rPr>
      </w:pPr>
      <w:r>
        <w:rPr>
          <w:rFonts w:hint="eastAsia" w:ascii="新宋体" w:hAnsi="新宋体" w:eastAsia="新宋体"/>
          <w:color w:val="000000"/>
          <w:sz w:val="24"/>
          <w:szCs w:val="24"/>
        </w:rPr>
        <w:t>2、投标人对前述知识产权信息负有保密义务，投标人未经对方书面许可，不得向任何第三方透露，亦不得用于本合同所涉及的系统之外的任何其他用途。</w:t>
      </w:r>
    </w:p>
    <w:p>
      <w:pPr>
        <w:spacing w:line="360" w:lineRule="auto"/>
        <w:ind w:firstLine="480" w:firstLineChars="200"/>
        <w:rPr>
          <w:rFonts w:hint="eastAsia" w:ascii="新宋体" w:hAnsi="新宋体" w:eastAsia="新宋体"/>
          <w:color w:val="000000"/>
          <w:sz w:val="24"/>
          <w:szCs w:val="24"/>
        </w:rPr>
      </w:pPr>
      <w:r>
        <w:rPr>
          <w:rFonts w:hint="eastAsia" w:ascii="新宋体" w:hAnsi="新宋体" w:eastAsia="新宋体"/>
          <w:color w:val="000000"/>
          <w:sz w:val="24"/>
          <w:szCs w:val="24"/>
        </w:rPr>
        <w:t>3、投标人承诺在提供本合同约定服务过程中，获知的采购人信息（包括但不限于未被社会公众知悉的一切信息），无论在合同期限或合同终止后，均应予以保密，未经采购人事先书面授权，不得以任何方式向其他组织或个人泄密、转让、许可使用及交换，更不能利用相关信息进行合同约定业务以外的任何商业活动。如投标人违反本合同条款的规定泄密，投标人应当赔偿采购人由此产生的全部损失，同时采购人保留对投标人追究相关法律责任的权利。</w:t>
      </w:r>
    </w:p>
    <w:p>
      <w:pPr>
        <w:spacing w:line="360" w:lineRule="auto"/>
        <w:ind w:firstLine="480" w:firstLineChars="200"/>
        <w:rPr>
          <w:rFonts w:hint="eastAsia" w:ascii="新宋体" w:hAnsi="新宋体" w:eastAsia="新宋体"/>
          <w:color w:val="000000"/>
          <w:sz w:val="24"/>
          <w:szCs w:val="24"/>
        </w:rPr>
      </w:pPr>
      <w:r>
        <w:rPr>
          <w:rFonts w:hint="eastAsia" w:ascii="新宋体" w:hAnsi="新宋体" w:eastAsia="新宋体"/>
          <w:color w:val="000000"/>
          <w:sz w:val="24"/>
          <w:szCs w:val="24"/>
        </w:rPr>
        <w:t>4、投标人保证在项目中交付给采购人的所有软硬件涉及到的知识产权完全合法有效，并不侵犯第三方所拥有的知识产权，否则由此造成的一切后果以及引起的一切纠纷，由投标人承担全部责任。</w:t>
      </w:r>
    </w:p>
    <w:p>
      <w:pPr>
        <w:spacing w:line="360" w:lineRule="auto"/>
        <w:ind w:firstLine="480" w:firstLineChars="200"/>
        <w:rPr>
          <w:rFonts w:hint="eastAsia" w:ascii="新宋体" w:hAnsi="新宋体" w:eastAsia="新宋体"/>
          <w:color w:val="000000"/>
          <w:sz w:val="24"/>
          <w:szCs w:val="24"/>
        </w:rPr>
      </w:pPr>
      <w:r>
        <w:rPr>
          <w:rFonts w:hint="eastAsia" w:ascii="新宋体" w:hAnsi="新宋体" w:eastAsia="新宋体"/>
          <w:color w:val="000000"/>
          <w:sz w:val="24"/>
          <w:szCs w:val="24"/>
        </w:rPr>
        <w:t>5、未经采购人书面许可，投标人不得以任何形式带出、引用或使用采购人的信息和数据，不得拷贝采购人的业务数据，不得以任何形式向第三方泄漏深圳税务系统网络架构、系统模型、开发文档及数据模型代码。如造成采购人损失的，将依法追究投标人责任。</w:t>
      </w:r>
    </w:p>
    <w:p>
      <w:pPr>
        <w:spacing w:line="360" w:lineRule="auto"/>
        <w:ind w:firstLine="480" w:firstLineChars="200"/>
        <w:rPr>
          <w:rFonts w:hint="eastAsia" w:ascii="新宋体" w:hAnsi="新宋体" w:eastAsia="新宋体"/>
          <w:color w:val="000000"/>
          <w:sz w:val="24"/>
          <w:szCs w:val="24"/>
        </w:rPr>
      </w:pPr>
      <w:r>
        <w:rPr>
          <w:rFonts w:hint="eastAsia" w:ascii="新宋体" w:hAnsi="新宋体" w:eastAsia="新宋体"/>
          <w:color w:val="000000"/>
          <w:sz w:val="24"/>
          <w:szCs w:val="24"/>
        </w:rPr>
        <w:t>6、保密期限为永久。</w:t>
      </w:r>
    </w:p>
    <w:p>
      <w:pPr>
        <w:pStyle w:val="5"/>
        <w:spacing w:line="360" w:lineRule="auto"/>
        <w:rPr>
          <w:rFonts w:hint="eastAsia" w:ascii="新宋体" w:hAnsi="新宋体" w:eastAsia="新宋体"/>
          <w:sz w:val="24"/>
          <w:szCs w:val="24"/>
        </w:rPr>
      </w:pPr>
      <w:r>
        <w:rPr>
          <w:rFonts w:hint="eastAsia" w:ascii="新宋体" w:hAnsi="新宋体" w:eastAsia="新宋体"/>
          <w:sz w:val="24"/>
          <w:szCs w:val="24"/>
        </w:rPr>
        <w:t>三、付款方式</w:t>
      </w:r>
    </w:p>
    <w:p>
      <w:pPr>
        <w:spacing w:line="360" w:lineRule="auto"/>
        <w:ind w:firstLine="480" w:firstLineChars="200"/>
        <w:rPr>
          <w:rFonts w:hint="eastAsia" w:ascii="新宋体" w:hAnsi="新宋体" w:eastAsia="新宋体"/>
          <w:sz w:val="24"/>
          <w:szCs w:val="24"/>
        </w:rPr>
      </w:pPr>
      <w:bookmarkStart w:id="6" w:name="_Hlk40965122"/>
      <w:r>
        <w:rPr>
          <w:rFonts w:hint="eastAsia" w:ascii="新宋体" w:hAnsi="新宋体" w:eastAsia="新宋体"/>
          <w:sz w:val="24"/>
          <w:szCs w:val="24"/>
        </w:rPr>
        <w:t>1.合同签订后，乙方向甲方提供发票及银行账号并经甲方审核确认后20个工作日内，甲方向乙方支付产品费用及服务费用的50%，即 [RMB________元]。</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2.开发完成并系统验收合格后，乙方向甲方提供发票及银行账号并经甲方审核确认后20个工作日内，甲方向乙方支付产品费用及服务费用的40%，即： [RMB________元]。</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3.在完成系统验收合格后第  12  个月后，甲方完成对乙方系统维护服务的验收并出具验收证明后，乙方向甲方提供发票及银行账号并经甲方审核确认后20个工作日内，甲方向乙方支付产品费用及服务费用的10%，即：[RMB________元]。</w:t>
      </w:r>
    </w:p>
    <w:p>
      <w:pPr>
        <w:spacing w:line="360" w:lineRule="auto"/>
        <w:ind w:firstLine="480" w:firstLineChars="200"/>
        <w:rPr>
          <w:rFonts w:hint="eastAsia" w:ascii="新宋体" w:hAnsi="新宋体" w:eastAsia="新宋体"/>
          <w:sz w:val="24"/>
          <w:szCs w:val="24"/>
        </w:rPr>
      </w:pPr>
      <w:r>
        <w:rPr>
          <w:rFonts w:hint="eastAsia" w:ascii="新宋体" w:hAnsi="新宋体" w:eastAsia="新宋体"/>
          <w:sz w:val="24"/>
          <w:szCs w:val="24"/>
        </w:rPr>
        <w:t>4.当实际工作量人天数和项目约定人天数的误差在10%以内的，仍以项目约定的人天数为准；误差超出10%的，应由甲乙双方协商确定实际发生的工作量，进行合同变更并签署相关补充协议。</w:t>
      </w:r>
      <w:bookmarkEnd w:id="6"/>
    </w:p>
    <w:p>
      <w:pPr>
        <w:pStyle w:val="4"/>
        <w:spacing w:line="360" w:lineRule="auto"/>
        <w:jc w:val="center"/>
        <w:rPr>
          <w:rFonts w:hint="eastAsia" w:ascii="新宋体" w:hAnsi="新宋体" w:eastAsia="新宋体"/>
          <w:sz w:val="24"/>
          <w:szCs w:val="24"/>
        </w:rPr>
      </w:pPr>
      <w:bookmarkStart w:id="7" w:name="_Toc46257806"/>
      <w:bookmarkStart w:id="8" w:name="_Toc47827810"/>
      <w:r>
        <w:rPr>
          <w:rFonts w:hint="eastAsia" w:ascii="新宋体" w:hAnsi="新宋体" w:eastAsia="新宋体"/>
          <w:sz w:val="24"/>
          <w:szCs w:val="24"/>
        </w:rPr>
        <w:t>第三节 技术需求</w:t>
      </w:r>
      <w:bookmarkEnd w:id="7"/>
      <w:bookmarkEnd w:id="8"/>
    </w:p>
    <w:p>
      <w:pPr>
        <w:pStyle w:val="5"/>
        <w:spacing w:line="360" w:lineRule="auto"/>
        <w:ind w:left="992" w:hanging="992"/>
        <w:rPr>
          <w:rFonts w:hint="eastAsia" w:ascii="新宋体" w:hAnsi="新宋体" w:eastAsia="新宋体"/>
          <w:sz w:val="24"/>
          <w:szCs w:val="24"/>
        </w:rPr>
      </w:pPr>
      <w:r>
        <w:rPr>
          <w:rFonts w:hint="eastAsia" w:ascii="新宋体" w:hAnsi="新宋体" w:eastAsia="新宋体"/>
          <w:sz w:val="24"/>
          <w:szCs w:val="24"/>
        </w:rPr>
        <w:t>一、功能要求</w:t>
      </w:r>
    </w:p>
    <w:p>
      <w:pPr>
        <w:spacing w:line="360" w:lineRule="auto"/>
        <w:rPr>
          <w:rFonts w:hint="eastAsia" w:ascii="新宋体" w:hAnsi="新宋体" w:eastAsia="新宋体"/>
          <w:color w:val="000000"/>
          <w:sz w:val="24"/>
          <w:szCs w:val="24"/>
        </w:rPr>
      </w:pPr>
      <w:r>
        <w:rPr>
          <w:rFonts w:hint="eastAsia" w:ascii="新宋体" w:hAnsi="新宋体" w:eastAsia="新宋体"/>
          <w:color w:val="000000"/>
          <w:sz w:val="24"/>
          <w:szCs w:val="24"/>
        </w:rPr>
        <w:t>1.登录页面优化</w:t>
      </w:r>
    </w:p>
    <w:p>
      <w:pPr>
        <w:spacing w:line="360" w:lineRule="auto"/>
        <w:ind w:firstLine="480" w:firstLineChars="200"/>
        <w:rPr>
          <w:rFonts w:hint="eastAsia" w:ascii="新宋体" w:hAnsi="新宋体" w:eastAsia="新宋体"/>
          <w:color w:val="000000"/>
          <w:sz w:val="24"/>
          <w:szCs w:val="24"/>
        </w:rPr>
      </w:pPr>
      <w:r>
        <w:rPr>
          <w:rFonts w:hint="eastAsia" w:ascii="新宋体" w:hAnsi="新宋体" w:eastAsia="新宋体"/>
          <w:color w:val="000000"/>
          <w:sz w:val="24"/>
          <w:szCs w:val="24"/>
        </w:rPr>
        <w:t xml:space="preserve">通过对接第三方平台，实现用户登录支持ＯＡ邮件、短信验证码登录认证方式，系统可在开通注册、修改密码、重置密码、忘记密码操作中可通过第三方平台OA接收动态验证码，系统通过校验动态码实现用户的验证检验。功能点包括： </w:t>
      </w:r>
    </w:p>
    <w:p>
      <w:pPr>
        <w:spacing w:line="360" w:lineRule="auto"/>
        <w:ind w:firstLine="480" w:firstLineChars="200"/>
        <w:rPr>
          <w:rFonts w:hint="eastAsia" w:ascii="新宋体" w:hAnsi="新宋体" w:eastAsia="新宋体"/>
          <w:color w:val="000000"/>
          <w:sz w:val="24"/>
          <w:szCs w:val="24"/>
        </w:rPr>
      </w:pPr>
      <w:r>
        <w:rPr>
          <w:rFonts w:hint="eastAsia" w:ascii="新宋体" w:hAnsi="新宋体" w:eastAsia="新宋体"/>
          <w:color w:val="000000"/>
          <w:sz w:val="24"/>
          <w:szCs w:val="24"/>
        </w:rPr>
        <w:t>1.1　打通第三方平台OA的用户验证；</w:t>
      </w:r>
    </w:p>
    <w:p>
      <w:pPr>
        <w:spacing w:line="360" w:lineRule="auto"/>
        <w:ind w:firstLine="480" w:firstLineChars="200"/>
        <w:rPr>
          <w:rFonts w:hint="eastAsia" w:ascii="新宋体" w:hAnsi="新宋体" w:eastAsia="新宋体"/>
          <w:color w:val="000000"/>
          <w:sz w:val="24"/>
          <w:szCs w:val="24"/>
        </w:rPr>
      </w:pPr>
      <w:r>
        <w:rPr>
          <w:rFonts w:hint="eastAsia" w:ascii="新宋体" w:hAnsi="新宋体" w:eastAsia="新宋体"/>
          <w:color w:val="000000"/>
          <w:sz w:val="24"/>
          <w:szCs w:val="24"/>
        </w:rPr>
        <w:t>1.2　打通第三方平台OA动态验证码获取功能；</w:t>
      </w:r>
    </w:p>
    <w:p>
      <w:pPr>
        <w:spacing w:line="360" w:lineRule="auto"/>
        <w:ind w:firstLine="480" w:firstLineChars="200"/>
        <w:rPr>
          <w:rFonts w:hint="eastAsia" w:ascii="新宋体" w:hAnsi="新宋体" w:eastAsia="新宋体"/>
          <w:color w:val="000000"/>
          <w:sz w:val="24"/>
          <w:szCs w:val="24"/>
        </w:rPr>
      </w:pPr>
      <w:r>
        <w:rPr>
          <w:rFonts w:hint="eastAsia" w:ascii="新宋体" w:hAnsi="新宋体" w:eastAsia="新宋体"/>
          <w:color w:val="000000"/>
          <w:sz w:val="24"/>
          <w:szCs w:val="24"/>
        </w:rPr>
        <w:t>1.3　实现对接第三方平台OA完成用户开通注册操作验证；</w:t>
      </w:r>
    </w:p>
    <w:p>
      <w:pPr>
        <w:spacing w:line="360" w:lineRule="auto"/>
        <w:ind w:firstLine="480" w:firstLineChars="200"/>
        <w:rPr>
          <w:rFonts w:hint="eastAsia" w:ascii="新宋体" w:hAnsi="新宋体" w:eastAsia="新宋体"/>
          <w:color w:val="000000"/>
          <w:sz w:val="24"/>
          <w:szCs w:val="24"/>
        </w:rPr>
      </w:pPr>
      <w:r>
        <w:rPr>
          <w:rFonts w:hint="eastAsia" w:ascii="新宋体" w:hAnsi="新宋体" w:eastAsia="新宋体"/>
          <w:color w:val="000000"/>
          <w:sz w:val="24"/>
          <w:szCs w:val="24"/>
        </w:rPr>
        <w:t>1.4　实现对接第三方平台OA完成用户修改密码操作验证；</w:t>
      </w:r>
    </w:p>
    <w:p>
      <w:pPr>
        <w:spacing w:line="360" w:lineRule="auto"/>
        <w:ind w:firstLine="480" w:firstLineChars="200"/>
        <w:rPr>
          <w:rFonts w:hint="eastAsia" w:ascii="新宋体" w:hAnsi="新宋体" w:eastAsia="新宋体"/>
          <w:color w:val="000000"/>
          <w:sz w:val="24"/>
          <w:szCs w:val="24"/>
        </w:rPr>
      </w:pPr>
      <w:r>
        <w:rPr>
          <w:rFonts w:hint="eastAsia" w:ascii="新宋体" w:hAnsi="新宋体" w:eastAsia="新宋体"/>
          <w:color w:val="000000"/>
          <w:sz w:val="24"/>
          <w:szCs w:val="24"/>
        </w:rPr>
        <w:t>1.5　实现对接第三方平台OA完成用户密码重置操作验证；</w:t>
      </w:r>
    </w:p>
    <w:p>
      <w:pPr>
        <w:spacing w:line="360" w:lineRule="auto"/>
        <w:ind w:firstLine="480" w:firstLineChars="200"/>
        <w:rPr>
          <w:rFonts w:hint="eastAsia" w:ascii="新宋体" w:hAnsi="新宋体" w:eastAsia="新宋体"/>
          <w:color w:val="000000"/>
          <w:sz w:val="24"/>
          <w:szCs w:val="24"/>
        </w:rPr>
      </w:pPr>
      <w:r>
        <w:rPr>
          <w:rFonts w:hint="eastAsia" w:ascii="新宋体" w:hAnsi="新宋体" w:eastAsia="新宋体"/>
          <w:color w:val="000000"/>
          <w:sz w:val="24"/>
          <w:szCs w:val="24"/>
        </w:rPr>
        <w:t>1.6　实现对接第三方平台OA完成用户忘记密码操作验证。</w:t>
      </w:r>
    </w:p>
    <w:p>
      <w:pPr>
        <w:spacing w:line="360" w:lineRule="auto"/>
        <w:ind w:firstLine="480" w:firstLineChars="200"/>
        <w:rPr>
          <w:rFonts w:hint="eastAsia" w:ascii="新宋体" w:hAnsi="新宋体" w:eastAsia="新宋体"/>
          <w:color w:val="000000"/>
          <w:sz w:val="24"/>
          <w:szCs w:val="24"/>
        </w:rPr>
      </w:pPr>
      <w:r>
        <w:rPr>
          <w:rFonts w:hint="eastAsia" w:ascii="新宋体" w:hAnsi="新宋体" w:eastAsia="新宋体"/>
          <w:color w:val="000000"/>
          <w:sz w:val="24"/>
          <w:szCs w:val="24"/>
        </w:rPr>
        <w:t>1.7　实现用户登录支持ＯＡ邮件、短信验证码登录认证方式。</w:t>
      </w:r>
    </w:p>
    <w:p>
      <w:pPr>
        <w:spacing w:line="360" w:lineRule="auto"/>
        <w:rPr>
          <w:rFonts w:hint="eastAsia" w:ascii="新宋体" w:hAnsi="新宋体" w:eastAsia="新宋体"/>
          <w:color w:val="000000"/>
          <w:sz w:val="24"/>
          <w:szCs w:val="24"/>
        </w:rPr>
      </w:pPr>
      <w:r>
        <w:rPr>
          <w:rFonts w:hint="eastAsia" w:ascii="新宋体" w:hAnsi="新宋体" w:eastAsia="新宋体"/>
          <w:color w:val="000000"/>
          <w:sz w:val="24"/>
          <w:szCs w:val="24"/>
        </w:rPr>
        <w:t>2.千人千面首页定制▲</w:t>
      </w:r>
    </w:p>
    <w:p>
      <w:pPr>
        <w:spacing w:line="360" w:lineRule="auto"/>
        <w:ind w:firstLine="480" w:firstLineChars="200"/>
        <w:rPr>
          <w:rFonts w:hint="eastAsia" w:ascii="新宋体" w:hAnsi="新宋体" w:eastAsia="新宋体"/>
          <w:color w:val="000000"/>
          <w:sz w:val="24"/>
          <w:szCs w:val="24"/>
        </w:rPr>
      </w:pPr>
      <w:r>
        <w:rPr>
          <w:rFonts w:hint="eastAsia" w:ascii="新宋体" w:hAnsi="新宋体" w:eastAsia="新宋体"/>
          <w:color w:val="000000"/>
          <w:sz w:val="24"/>
          <w:szCs w:val="24"/>
        </w:rPr>
        <w:t>通过实现首页图表配置功能，用于满足不同用户根据需要自行修改、调整首页展示的元素构成，满足不同用户进入系统首页上均可看到相关或关心的数字化图表信息。</w:t>
      </w:r>
    </w:p>
    <w:p>
      <w:pPr>
        <w:pStyle w:val="16"/>
        <w:spacing w:line="360" w:lineRule="auto"/>
        <w:ind w:left="359" w:leftChars="171" w:firstLine="482" w:firstLineChars="200"/>
        <w:rPr>
          <w:rFonts w:hint="eastAsia" w:ascii="新宋体" w:hAnsi="新宋体" w:eastAsia="新宋体" w:cs="仿宋"/>
          <w:b/>
          <w:sz w:val="24"/>
        </w:rPr>
      </w:pPr>
      <w:r>
        <w:rPr>
          <w:rFonts w:hint="eastAsia" w:ascii="新宋体" w:hAnsi="新宋体" w:eastAsia="新宋体" w:cs="仿宋"/>
          <w:b/>
          <w:sz w:val="24"/>
        </w:rPr>
        <w:t>功能要点包括以下：</w:t>
      </w:r>
    </w:p>
    <w:p>
      <w:pPr>
        <w:spacing w:line="360" w:lineRule="auto"/>
        <w:ind w:firstLine="480" w:firstLineChars="200"/>
        <w:rPr>
          <w:rFonts w:hint="eastAsia" w:ascii="新宋体" w:hAnsi="新宋体" w:eastAsia="新宋体"/>
          <w:color w:val="000000"/>
          <w:sz w:val="24"/>
          <w:szCs w:val="24"/>
        </w:rPr>
      </w:pPr>
      <w:r>
        <w:rPr>
          <w:rFonts w:hint="eastAsia" w:ascii="新宋体" w:hAnsi="新宋体" w:eastAsia="新宋体"/>
          <w:color w:val="000000"/>
          <w:sz w:val="24"/>
          <w:szCs w:val="24"/>
        </w:rPr>
        <w:t>2.1　新增首页：通过拖拉方式，从图表库中选择相关展示的图表信息，并记录图表大小与位置，形成个性化首页，一个用户可以根据不同的角色和管理的事项配置多个不同的首页，也可以配置每个图表下钻跳转的图表，达到图表联动效果。</w:t>
      </w:r>
    </w:p>
    <w:p>
      <w:pPr>
        <w:spacing w:line="360" w:lineRule="auto"/>
        <w:ind w:firstLine="480" w:firstLineChars="200"/>
        <w:rPr>
          <w:rFonts w:hint="eastAsia" w:ascii="新宋体" w:hAnsi="新宋体" w:eastAsia="新宋体"/>
          <w:color w:val="000000"/>
          <w:sz w:val="24"/>
          <w:szCs w:val="24"/>
        </w:rPr>
      </w:pPr>
      <w:r>
        <w:rPr>
          <w:rFonts w:hint="eastAsia" w:ascii="新宋体" w:hAnsi="新宋体" w:eastAsia="新宋体"/>
          <w:color w:val="000000"/>
          <w:sz w:val="24"/>
          <w:szCs w:val="24"/>
        </w:rPr>
        <w:t>2.2　首页更新：通过对首页进行编辑，可以把个人关注的图表进行更新到制定位置，也可以对首页整体布局进行调整，把重要的数据图表优先显示。</w:t>
      </w:r>
    </w:p>
    <w:p>
      <w:pPr>
        <w:spacing w:line="360" w:lineRule="auto"/>
        <w:ind w:firstLine="480" w:firstLineChars="200"/>
        <w:rPr>
          <w:rFonts w:hint="eastAsia" w:ascii="新宋体" w:hAnsi="新宋体" w:eastAsia="新宋体"/>
          <w:color w:val="000000"/>
          <w:sz w:val="24"/>
          <w:szCs w:val="24"/>
        </w:rPr>
      </w:pPr>
      <w:r>
        <w:rPr>
          <w:rFonts w:hint="eastAsia" w:ascii="新宋体" w:hAnsi="新宋体" w:eastAsia="新宋体"/>
          <w:color w:val="000000"/>
          <w:sz w:val="24"/>
          <w:szCs w:val="24"/>
        </w:rPr>
        <w:t>2.3　首页草稿：可以对首页布局未完成的时进行保存草稿，便于下一次使用能够迅速把草稿，首页显示到页面，进行下一步配置，无须重新配置。</w:t>
      </w:r>
    </w:p>
    <w:p>
      <w:pPr>
        <w:spacing w:line="360" w:lineRule="auto"/>
        <w:ind w:firstLine="480" w:firstLineChars="200"/>
        <w:rPr>
          <w:rFonts w:hint="eastAsia" w:ascii="新宋体" w:hAnsi="新宋体" w:eastAsia="新宋体"/>
          <w:color w:val="000000"/>
          <w:sz w:val="24"/>
          <w:szCs w:val="24"/>
        </w:rPr>
      </w:pPr>
      <w:r>
        <w:rPr>
          <w:rFonts w:hint="eastAsia" w:ascii="新宋体" w:hAnsi="新宋体" w:eastAsia="新宋体"/>
          <w:color w:val="000000"/>
          <w:sz w:val="24"/>
          <w:szCs w:val="24"/>
        </w:rPr>
        <w:t>2.4　我的首页：把个人配置首页通过列表形式展示，可以对列表信息进行基础信息操作如修改，删除，草稿，暂停，启用等操作。</w:t>
      </w:r>
    </w:p>
    <w:p>
      <w:pPr>
        <w:pStyle w:val="16"/>
        <w:spacing w:line="360" w:lineRule="auto"/>
        <w:ind w:left="359" w:leftChars="171" w:firstLine="241" w:firstLineChars="100"/>
        <w:rPr>
          <w:rFonts w:hint="eastAsia" w:ascii="新宋体" w:hAnsi="新宋体" w:eastAsia="新宋体" w:cs="仿宋"/>
          <w:b/>
          <w:sz w:val="24"/>
        </w:rPr>
      </w:pPr>
      <w:r>
        <w:rPr>
          <w:rFonts w:hint="eastAsia" w:ascii="新宋体" w:hAnsi="新宋体" w:eastAsia="新宋体" w:cs="仿宋"/>
          <w:b/>
          <w:sz w:val="24"/>
        </w:rPr>
        <w:t>功能须满足以下特性：</w:t>
      </w:r>
    </w:p>
    <w:p>
      <w:pPr>
        <w:spacing w:line="360" w:lineRule="auto"/>
        <w:ind w:firstLine="480" w:firstLineChars="200"/>
        <w:rPr>
          <w:rFonts w:hint="eastAsia" w:ascii="新宋体" w:hAnsi="新宋体" w:eastAsia="新宋体"/>
          <w:color w:val="000000"/>
          <w:sz w:val="24"/>
          <w:szCs w:val="24"/>
        </w:rPr>
      </w:pPr>
      <w:r>
        <w:rPr>
          <w:rFonts w:hint="eastAsia" w:ascii="新宋体" w:hAnsi="新宋体" w:eastAsia="新宋体"/>
          <w:color w:val="000000"/>
          <w:sz w:val="24"/>
          <w:szCs w:val="24"/>
        </w:rPr>
        <w:t>2.5数字图表卡片可灵活调整尺寸大小和显示位置。</w:t>
      </w:r>
    </w:p>
    <w:p>
      <w:pPr>
        <w:spacing w:line="360" w:lineRule="auto"/>
        <w:ind w:firstLine="480" w:firstLineChars="200"/>
        <w:rPr>
          <w:rFonts w:hint="eastAsia" w:ascii="新宋体" w:hAnsi="新宋体" w:eastAsia="新宋体"/>
          <w:color w:val="000000"/>
          <w:sz w:val="24"/>
          <w:szCs w:val="24"/>
        </w:rPr>
      </w:pPr>
      <w:r>
        <w:rPr>
          <w:rFonts w:hint="eastAsia" w:ascii="新宋体" w:hAnsi="新宋体" w:eastAsia="新宋体"/>
          <w:color w:val="000000"/>
          <w:sz w:val="24"/>
          <w:szCs w:val="24"/>
        </w:rPr>
        <w:t>2.6数字图表卡片数据支持根据用户权限机关、时间自动计算刷新数据。</w:t>
      </w:r>
    </w:p>
    <w:p>
      <w:pPr>
        <w:spacing w:line="360" w:lineRule="auto"/>
        <w:ind w:firstLine="480" w:firstLineChars="200"/>
        <w:rPr>
          <w:rFonts w:hint="eastAsia" w:ascii="新宋体" w:hAnsi="新宋体" w:eastAsia="新宋体"/>
          <w:color w:val="000000"/>
          <w:sz w:val="24"/>
          <w:szCs w:val="24"/>
        </w:rPr>
      </w:pPr>
      <w:r>
        <w:rPr>
          <w:rFonts w:hint="eastAsia" w:ascii="新宋体" w:hAnsi="新宋体" w:eastAsia="新宋体"/>
          <w:color w:val="000000"/>
          <w:sz w:val="24"/>
          <w:szCs w:val="24"/>
        </w:rPr>
        <w:t>2.7图表可下钻联动配置。</w:t>
      </w:r>
    </w:p>
    <w:p>
      <w:pPr>
        <w:spacing w:line="360" w:lineRule="auto"/>
        <w:rPr>
          <w:rFonts w:hint="eastAsia" w:ascii="新宋体" w:hAnsi="新宋体" w:eastAsia="新宋体"/>
          <w:color w:val="000000"/>
          <w:sz w:val="24"/>
          <w:szCs w:val="24"/>
        </w:rPr>
      </w:pPr>
      <w:r>
        <w:rPr>
          <w:rFonts w:hint="eastAsia" w:ascii="新宋体" w:hAnsi="新宋体" w:eastAsia="新宋体"/>
          <w:color w:val="000000"/>
          <w:sz w:val="24"/>
          <w:szCs w:val="24"/>
        </w:rPr>
        <w:t>3.数据图表卡片制作中心▲</w:t>
      </w:r>
    </w:p>
    <w:p>
      <w:pPr>
        <w:spacing w:line="360" w:lineRule="auto"/>
        <w:ind w:firstLine="480" w:firstLineChars="200"/>
        <w:rPr>
          <w:rFonts w:hint="eastAsia" w:ascii="新宋体" w:hAnsi="新宋体" w:eastAsia="新宋体"/>
          <w:color w:val="000000"/>
          <w:sz w:val="24"/>
          <w:szCs w:val="24"/>
        </w:rPr>
      </w:pPr>
      <w:r>
        <w:rPr>
          <w:rFonts w:hint="eastAsia" w:ascii="新宋体" w:hAnsi="新宋体" w:eastAsia="新宋体"/>
          <w:color w:val="000000"/>
          <w:sz w:val="24"/>
          <w:szCs w:val="24"/>
        </w:rPr>
        <w:t>用户图表的制作中心，可通过该平台接入多种数据集到图表中心，图表中心推拉拽系统图表模板，绑定业务数据后生成业务图表发布到图表制作中心，系统其它功能模块可以直接调用生成的图形嵌入到页面中即可展示，可实现一次性的图表设置，多处图表复用的能力，从而保证数据的一致性、口径的标准化、图形的统一化管理，对图表统一权限控制。功能要点包含以下：</w:t>
      </w:r>
    </w:p>
    <w:p>
      <w:pPr>
        <w:spacing w:line="360" w:lineRule="auto"/>
        <w:ind w:firstLine="480" w:firstLineChars="200"/>
        <w:rPr>
          <w:rFonts w:hint="eastAsia" w:ascii="新宋体" w:hAnsi="新宋体" w:eastAsia="新宋体"/>
          <w:color w:val="000000"/>
          <w:sz w:val="24"/>
          <w:szCs w:val="24"/>
        </w:rPr>
      </w:pPr>
      <w:r>
        <w:rPr>
          <w:rFonts w:hint="eastAsia" w:ascii="新宋体" w:hAnsi="新宋体" w:eastAsia="新宋体"/>
          <w:color w:val="000000"/>
          <w:sz w:val="24"/>
          <w:szCs w:val="24"/>
        </w:rPr>
        <w:t>3.1　数据源接入：支持各类数据源接入，支持如mysql，oracle，Tbase，hive等等数据源接入，并可以同步接入数据源的元数据信息，便于图表开发</w:t>
      </w:r>
    </w:p>
    <w:p>
      <w:pPr>
        <w:spacing w:line="360" w:lineRule="auto"/>
        <w:ind w:firstLine="480" w:firstLineChars="200"/>
        <w:rPr>
          <w:rFonts w:hint="eastAsia" w:ascii="新宋体" w:hAnsi="新宋体" w:eastAsia="新宋体"/>
          <w:color w:val="000000"/>
          <w:sz w:val="24"/>
          <w:szCs w:val="24"/>
        </w:rPr>
      </w:pPr>
      <w:r>
        <w:rPr>
          <w:rFonts w:hint="eastAsia" w:ascii="新宋体" w:hAnsi="新宋体" w:eastAsia="新宋体"/>
          <w:color w:val="000000"/>
          <w:sz w:val="24"/>
          <w:szCs w:val="24"/>
        </w:rPr>
        <w:t>3.2　图表制作开发：拖拉拽方式可以对图表进行单一配置，也可以进行组装配置形成复图表形成寓意更加明确的业务信息，也可以对图表进行业务描述，标签等操作，来定位图表含义。</w:t>
      </w:r>
    </w:p>
    <w:p>
      <w:pPr>
        <w:spacing w:line="360" w:lineRule="auto"/>
        <w:ind w:firstLine="480" w:firstLineChars="200"/>
        <w:rPr>
          <w:rFonts w:hint="eastAsia" w:ascii="新宋体" w:hAnsi="新宋体" w:eastAsia="新宋体"/>
          <w:color w:val="000000"/>
          <w:sz w:val="24"/>
          <w:szCs w:val="24"/>
        </w:rPr>
      </w:pPr>
      <w:r>
        <w:rPr>
          <w:rFonts w:hint="eastAsia" w:ascii="新宋体" w:hAnsi="新宋体" w:eastAsia="新宋体"/>
          <w:color w:val="000000"/>
          <w:sz w:val="24"/>
          <w:szCs w:val="24"/>
        </w:rPr>
        <w:t>3.3　我的图表：可以把我开发的图表进行列表是管理，可以进行编辑发布，标签化，新增删除等操作。</w:t>
      </w:r>
    </w:p>
    <w:p>
      <w:pPr>
        <w:spacing w:line="360" w:lineRule="auto"/>
        <w:ind w:firstLine="480" w:firstLineChars="200"/>
        <w:rPr>
          <w:rFonts w:hint="eastAsia" w:ascii="新宋体" w:hAnsi="新宋体" w:eastAsia="新宋体"/>
          <w:color w:val="000000"/>
          <w:sz w:val="24"/>
          <w:szCs w:val="24"/>
        </w:rPr>
      </w:pPr>
      <w:r>
        <w:rPr>
          <w:rFonts w:hint="eastAsia" w:ascii="新宋体" w:hAnsi="新宋体" w:eastAsia="新宋体"/>
          <w:color w:val="000000"/>
          <w:sz w:val="24"/>
          <w:szCs w:val="24"/>
        </w:rPr>
        <w:t>3.4　图表开放：把重要通用的图表进行开放，便于外系统引入图表，可直接应用到系统页面，为了避免二次的重复数据图表开发，轻松方便的将图表引入外系统就可直接使用，减少重复的分析及开发工作，进一方面解决数据口径统一，数据展示标准，数据出口唯一的痛点问题。</w:t>
      </w:r>
    </w:p>
    <w:p>
      <w:pPr>
        <w:pStyle w:val="16"/>
        <w:spacing w:line="360" w:lineRule="auto"/>
        <w:ind w:left="359" w:leftChars="171" w:firstLine="241" w:firstLineChars="100"/>
        <w:rPr>
          <w:rFonts w:hint="eastAsia" w:ascii="新宋体" w:hAnsi="新宋体" w:eastAsia="新宋体" w:cs="仿宋"/>
          <w:b/>
          <w:sz w:val="24"/>
        </w:rPr>
      </w:pPr>
      <w:r>
        <w:rPr>
          <w:rFonts w:hint="eastAsia" w:ascii="新宋体" w:hAnsi="新宋体" w:eastAsia="新宋体" w:cs="仿宋"/>
          <w:b/>
          <w:sz w:val="24"/>
        </w:rPr>
        <w:t>功能须满足以下特性：</w:t>
      </w:r>
    </w:p>
    <w:p>
      <w:pPr>
        <w:spacing w:line="360" w:lineRule="auto"/>
        <w:ind w:firstLine="480" w:firstLineChars="200"/>
        <w:rPr>
          <w:rFonts w:hint="eastAsia" w:ascii="新宋体" w:hAnsi="新宋体" w:eastAsia="新宋体"/>
          <w:color w:val="000000"/>
          <w:sz w:val="24"/>
          <w:szCs w:val="24"/>
        </w:rPr>
      </w:pPr>
      <w:r>
        <w:rPr>
          <w:rFonts w:hint="eastAsia" w:ascii="新宋体" w:hAnsi="新宋体" w:eastAsia="新宋体"/>
          <w:color w:val="000000"/>
          <w:sz w:val="24"/>
          <w:szCs w:val="24"/>
        </w:rPr>
        <w:t>3.5　支持多种图表类型供用户选择使用,包括于饼图、柱形图、条形图、面积图、仪表盘、雷达图、气泡图、漏斗图、词云、表单、指标卡等echart具备的类型。</w:t>
      </w:r>
    </w:p>
    <w:p>
      <w:pPr>
        <w:spacing w:line="360" w:lineRule="auto"/>
        <w:ind w:firstLine="480" w:firstLineChars="200"/>
        <w:rPr>
          <w:rFonts w:hint="eastAsia" w:ascii="新宋体" w:hAnsi="新宋体" w:eastAsia="新宋体"/>
          <w:color w:val="000000"/>
          <w:sz w:val="24"/>
          <w:szCs w:val="24"/>
        </w:rPr>
      </w:pPr>
      <w:r>
        <w:rPr>
          <w:rFonts w:hint="eastAsia" w:ascii="新宋体" w:hAnsi="新宋体" w:eastAsia="新宋体"/>
          <w:color w:val="000000"/>
          <w:sz w:val="24"/>
          <w:szCs w:val="24"/>
        </w:rPr>
        <w:t>3.6　支持图表样式设置，包括标题、字体、位置、数据系列等</w:t>
      </w:r>
    </w:p>
    <w:p>
      <w:pPr>
        <w:spacing w:line="360" w:lineRule="auto"/>
        <w:ind w:firstLine="480" w:firstLineChars="200"/>
        <w:rPr>
          <w:rFonts w:hint="eastAsia" w:ascii="新宋体" w:hAnsi="新宋体" w:eastAsia="新宋体"/>
          <w:color w:val="000000"/>
          <w:sz w:val="24"/>
          <w:szCs w:val="24"/>
        </w:rPr>
      </w:pPr>
      <w:r>
        <w:rPr>
          <w:rFonts w:hint="eastAsia" w:ascii="新宋体" w:hAnsi="新宋体" w:eastAsia="新宋体"/>
          <w:color w:val="000000"/>
          <w:sz w:val="24"/>
          <w:szCs w:val="24"/>
        </w:rPr>
        <w:t>3.7　数据图表有完整的发布、管理、维护功能；</w:t>
      </w:r>
    </w:p>
    <w:p>
      <w:pPr>
        <w:spacing w:line="360" w:lineRule="auto"/>
        <w:ind w:firstLine="480" w:firstLineChars="200"/>
        <w:rPr>
          <w:rFonts w:hint="eastAsia" w:ascii="新宋体" w:hAnsi="新宋体" w:eastAsia="新宋体"/>
          <w:color w:val="000000"/>
          <w:sz w:val="24"/>
          <w:szCs w:val="24"/>
        </w:rPr>
      </w:pPr>
      <w:r>
        <w:rPr>
          <w:rFonts w:hint="eastAsia" w:ascii="新宋体" w:hAnsi="新宋体" w:eastAsia="新宋体"/>
          <w:color w:val="000000"/>
          <w:sz w:val="24"/>
          <w:szCs w:val="24"/>
        </w:rPr>
        <w:t>3.8  图表有系统鉴权、有灵活的权限控制。</w:t>
      </w:r>
    </w:p>
    <w:p>
      <w:pPr>
        <w:spacing w:line="360" w:lineRule="auto"/>
        <w:ind w:firstLine="480" w:firstLineChars="200"/>
        <w:rPr>
          <w:rFonts w:hint="eastAsia" w:ascii="新宋体" w:hAnsi="新宋体" w:eastAsia="新宋体" w:cs="仿宋"/>
          <w:b/>
          <w:sz w:val="24"/>
          <w:szCs w:val="24"/>
        </w:rPr>
      </w:pPr>
      <w:r>
        <w:rPr>
          <w:rFonts w:hint="eastAsia" w:ascii="新宋体" w:hAnsi="新宋体" w:eastAsia="新宋体"/>
          <w:color w:val="000000"/>
          <w:sz w:val="24"/>
          <w:szCs w:val="24"/>
        </w:rPr>
        <w:t>　3.9　支持ＳＱＬ配置和API JSON接口两种数据来源形式。</w:t>
      </w:r>
      <w:r>
        <w:rPr>
          <w:rFonts w:hint="eastAsia" w:ascii="新宋体" w:hAnsi="新宋体" w:eastAsia="新宋体" w:cs="仿宋"/>
          <w:sz w:val="24"/>
          <w:szCs w:val="24"/>
        </w:rPr>
        <w:t xml:space="preserve">　 </w:t>
      </w:r>
    </w:p>
    <w:p>
      <w:pPr>
        <w:spacing w:line="360" w:lineRule="auto"/>
        <w:rPr>
          <w:rFonts w:hint="eastAsia" w:ascii="新宋体" w:hAnsi="新宋体" w:eastAsia="新宋体"/>
          <w:color w:val="000000"/>
          <w:sz w:val="24"/>
          <w:szCs w:val="24"/>
        </w:rPr>
      </w:pPr>
      <w:r>
        <w:rPr>
          <w:rFonts w:hint="eastAsia" w:ascii="新宋体" w:hAnsi="新宋体" w:eastAsia="新宋体"/>
          <w:color w:val="000000"/>
          <w:sz w:val="24"/>
          <w:szCs w:val="24"/>
        </w:rPr>
        <w:t>4.图表服务集成开放API　▲</w:t>
      </w:r>
    </w:p>
    <w:p>
      <w:pPr>
        <w:spacing w:line="360" w:lineRule="auto"/>
        <w:ind w:firstLine="480" w:firstLineChars="200"/>
        <w:rPr>
          <w:rFonts w:hint="eastAsia" w:ascii="新宋体" w:hAnsi="新宋体" w:eastAsia="新宋体"/>
          <w:color w:val="000000"/>
          <w:sz w:val="24"/>
          <w:szCs w:val="24"/>
        </w:rPr>
      </w:pPr>
      <w:r>
        <w:rPr>
          <w:rFonts w:hint="eastAsia" w:ascii="新宋体" w:hAnsi="新宋体" w:eastAsia="新宋体"/>
          <w:color w:val="000000"/>
          <w:sz w:val="24"/>
          <w:szCs w:val="24"/>
        </w:rPr>
        <w:t>为满足其他系统平台使用本平台制作的各类图形，提供图表集成功能，通过API直接引用显示图表或获取图表数据，外系统通过API的调用可直接集成图形到外系统的页面，可大幅简化外系统开发的工作，也可实现数据的统一管理、规范使用以及数据权限的控制管理。功能点包括：</w:t>
      </w:r>
    </w:p>
    <w:p>
      <w:pPr>
        <w:spacing w:line="360" w:lineRule="auto"/>
        <w:ind w:firstLine="480" w:firstLineChars="200"/>
        <w:rPr>
          <w:rFonts w:hint="eastAsia" w:ascii="新宋体" w:hAnsi="新宋体" w:eastAsia="新宋体"/>
          <w:color w:val="000000"/>
          <w:sz w:val="24"/>
          <w:szCs w:val="24"/>
        </w:rPr>
      </w:pPr>
      <w:r>
        <w:rPr>
          <w:rFonts w:hint="eastAsia" w:ascii="新宋体" w:hAnsi="新宋体" w:eastAsia="新宋体"/>
          <w:color w:val="000000"/>
          <w:sz w:val="24"/>
          <w:szCs w:val="24"/>
        </w:rPr>
        <w:t>4.1　开放图表服务API总览：把共享的图表全部进行分类，分层显示，并显</w:t>
      </w:r>
    </w:p>
    <w:p>
      <w:pPr>
        <w:spacing w:line="360" w:lineRule="auto"/>
        <w:ind w:firstLine="480" w:firstLineChars="200"/>
        <w:rPr>
          <w:rFonts w:hint="eastAsia" w:ascii="新宋体" w:hAnsi="新宋体" w:eastAsia="新宋体"/>
          <w:color w:val="000000"/>
          <w:sz w:val="24"/>
          <w:szCs w:val="24"/>
        </w:rPr>
      </w:pPr>
      <w:r>
        <w:rPr>
          <w:rFonts w:hint="eastAsia" w:ascii="新宋体" w:hAnsi="新宋体" w:eastAsia="新宋体"/>
          <w:color w:val="000000"/>
          <w:sz w:val="24"/>
          <w:szCs w:val="24"/>
        </w:rPr>
        <w:t>示图表标签信息，业务指标含义等重要信息，显示最近图表引用排名，制作图表排名等等排名信息。</w:t>
      </w:r>
    </w:p>
    <w:p>
      <w:pPr>
        <w:spacing w:line="360" w:lineRule="auto"/>
        <w:ind w:firstLine="480" w:firstLineChars="200"/>
        <w:rPr>
          <w:rFonts w:hint="eastAsia" w:ascii="新宋体" w:hAnsi="新宋体" w:eastAsia="新宋体"/>
          <w:color w:val="000000"/>
          <w:sz w:val="24"/>
          <w:szCs w:val="24"/>
        </w:rPr>
      </w:pPr>
      <w:r>
        <w:rPr>
          <w:rFonts w:hint="eastAsia" w:ascii="新宋体" w:hAnsi="新宋体" w:eastAsia="新宋体"/>
          <w:color w:val="000000"/>
          <w:sz w:val="24"/>
          <w:szCs w:val="24"/>
        </w:rPr>
        <w:t>4.2　样例数据预览：用户可以对图表进行样例数据查看，查看图表显示效果，查询图表基础信息，如图表名称，图表描述，图表基础标签等。</w:t>
      </w:r>
    </w:p>
    <w:p>
      <w:pPr>
        <w:spacing w:line="360" w:lineRule="auto"/>
        <w:ind w:firstLine="480" w:firstLineChars="200"/>
        <w:rPr>
          <w:rFonts w:hint="eastAsia" w:ascii="新宋体" w:hAnsi="新宋体" w:eastAsia="新宋体"/>
          <w:color w:val="000000"/>
          <w:sz w:val="24"/>
          <w:szCs w:val="24"/>
        </w:rPr>
      </w:pPr>
      <w:r>
        <w:rPr>
          <w:rFonts w:hint="eastAsia" w:ascii="新宋体" w:hAnsi="新宋体" w:eastAsia="新宋体"/>
          <w:color w:val="000000"/>
          <w:sz w:val="24"/>
          <w:szCs w:val="24"/>
        </w:rPr>
        <w:t>4.3　申请集成引用图表：查看图表具体详细信息，如更多标签信息，图表计</w:t>
      </w:r>
    </w:p>
    <w:p>
      <w:pPr>
        <w:spacing w:line="360" w:lineRule="auto"/>
        <w:ind w:firstLine="480" w:firstLineChars="200"/>
        <w:rPr>
          <w:rFonts w:hint="eastAsia" w:ascii="新宋体" w:hAnsi="新宋体" w:eastAsia="新宋体"/>
          <w:color w:val="000000"/>
          <w:sz w:val="24"/>
          <w:szCs w:val="24"/>
        </w:rPr>
      </w:pPr>
      <w:r>
        <w:rPr>
          <w:rFonts w:hint="eastAsia" w:ascii="新宋体" w:hAnsi="新宋体" w:eastAsia="新宋体"/>
          <w:color w:val="000000"/>
          <w:sz w:val="24"/>
          <w:szCs w:val="24"/>
        </w:rPr>
        <w:t>算信息等需要通过登录后进行才能查看，查看详细具体数据需要进行申请，授权后才能查看，授权后可以对图表进行引用访问。</w:t>
      </w:r>
    </w:p>
    <w:p>
      <w:pPr>
        <w:pStyle w:val="16"/>
        <w:spacing w:line="360" w:lineRule="auto"/>
        <w:ind w:left="359" w:leftChars="171" w:firstLine="241" w:firstLineChars="100"/>
        <w:rPr>
          <w:rFonts w:hint="eastAsia" w:ascii="新宋体" w:hAnsi="新宋体" w:eastAsia="新宋体" w:cs="仿宋"/>
          <w:b/>
          <w:sz w:val="24"/>
        </w:rPr>
      </w:pPr>
      <w:r>
        <w:rPr>
          <w:rFonts w:hint="eastAsia" w:ascii="新宋体" w:hAnsi="新宋体" w:eastAsia="新宋体" w:cs="仿宋"/>
          <w:b/>
          <w:sz w:val="24"/>
        </w:rPr>
        <w:t>功能须满足以下特性：</w:t>
      </w:r>
    </w:p>
    <w:p>
      <w:pPr>
        <w:spacing w:line="360" w:lineRule="auto"/>
        <w:ind w:firstLine="480" w:firstLineChars="200"/>
        <w:rPr>
          <w:rFonts w:hint="eastAsia" w:ascii="新宋体" w:hAnsi="新宋体" w:eastAsia="新宋体"/>
          <w:color w:val="000000"/>
          <w:sz w:val="24"/>
          <w:szCs w:val="24"/>
        </w:rPr>
      </w:pPr>
      <w:r>
        <w:rPr>
          <w:rFonts w:hint="eastAsia" w:ascii="新宋体" w:hAnsi="新宋体" w:eastAsia="新宋体"/>
          <w:color w:val="000000"/>
          <w:sz w:val="24"/>
          <w:szCs w:val="24"/>
        </w:rPr>
        <w:t>4.4　第三方系统引用接入需要进行认证、鉴权功能；</w:t>
      </w:r>
    </w:p>
    <w:p>
      <w:pPr>
        <w:spacing w:line="360" w:lineRule="auto"/>
        <w:ind w:firstLine="480" w:firstLineChars="200"/>
        <w:rPr>
          <w:rFonts w:hint="eastAsia" w:ascii="新宋体" w:hAnsi="新宋体" w:eastAsia="新宋体"/>
          <w:color w:val="000000"/>
          <w:sz w:val="24"/>
          <w:szCs w:val="24"/>
        </w:rPr>
      </w:pPr>
      <w:r>
        <w:rPr>
          <w:rFonts w:hint="eastAsia" w:ascii="新宋体" w:hAnsi="新宋体" w:eastAsia="新宋体"/>
          <w:color w:val="000000"/>
          <w:sz w:val="24"/>
          <w:szCs w:val="24"/>
        </w:rPr>
        <w:t>4.5　第三方系统引用使用图表的痕迹需要进行记录，确保能够真实反映使用人员和查看数据内容。</w:t>
      </w:r>
    </w:p>
    <w:p>
      <w:pPr>
        <w:spacing w:line="360" w:lineRule="auto"/>
        <w:rPr>
          <w:rFonts w:hint="eastAsia" w:ascii="新宋体" w:hAnsi="新宋体" w:eastAsia="新宋体"/>
          <w:color w:val="000000"/>
          <w:sz w:val="24"/>
          <w:szCs w:val="24"/>
        </w:rPr>
      </w:pPr>
      <w:r>
        <w:rPr>
          <w:rFonts w:hint="eastAsia" w:ascii="新宋体" w:hAnsi="新宋体" w:eastAsia="新宋体"/>
          <w:color w:val="000000"/>
          <w:sz w:val="24"/>
          <w:szCs w:val="24"/>
        </w:rPr>
        <w:t>5.主题数据加工　▲</w:t>
      </w:r>
    </w:p>
    <w:p>
      <w:pPr>
        <w:spacing w:line="360" w:lineRule="auto"/>
        <w:ind w:firstLine="480" w:firstLineChars="200"/>
        <w:rPr>
          <w:rFonts w:hint="eastAsia" w:ascii="新宋体" w:hAnsi="新宋体" w:eastAsia="新宋体"/>
          <w:color w:val="000000"/>
          <w:sz w:val="24"/>
          <w:szCs w:val="24"/>
        </w:rPr>
      </w:pPr>
      <w:r>
        <w:rPr>
          <w:rFonts w:hint="eastAsia" w:ascii="新宋体" w:hAnsi="新宋体" w:eastAsia="新宋体"/>
          <w:color w:val="000000"/>
          <w:sz w:val="24"/>
          <w:szCs w:val="24"/>
        </w:rPr>
        <w:t>提供主题数据加工任务管理功能，实现数据加工规范化、常态化，用户可结</w:t>
      </w:r>
    </w:p>
    <w:p>
      <w:pPr>
        <w:spacing w:line="360" w:lineRule="auto"/>
        <w:ind w:firstLine="480" w:firstLineChars="200"/>
        <w:rPr>
          <w:rFonts w:hint="eastAsia" w:ascii="新宋体" w:hAnsi="新宋体" w:eastAsia="新宋体"/>
          <w:color w:val="000000"/>
          <w:sz w:val="24"/>
          <w:szCs w:val="24"/>
        </w:rPr>
      </w:pPr>
      <w:r>
        <w:rPr>
          <w:rFonts w:hint="eastAsia" w:ascii="新宋体" w:hAnsi="新宋体" w:eastAsia="新宋体"/>
          <w:color w:val="000000"/>
          <w:sz w:val="24"/>
          <w:szCs w:val="24"/>
        </w:rPr>
        <w:t>合数据图表需求，定时对数据主题内容进行预处理。功能点包括：</w:t>
      </w:r>
    </w:p>
    <w:p>
      <w:pPr>
        <w:spacing w:line="360" w:lineRule="auto"/>
        <w:ind w:firstLine="480" w:firstLineChars="200"/>
        <w:rPr>
          <w:rFonts w:hint="eastAsia" w:ascii="新宋体" w:hAnsi="新宋体" w:eastAsia="新宋体"/>
          <w:color w:val="000000"/>
          <w:sz w:val="24"/>
          <w:szCs w:val="24"/>
        </w:rPr>
      </w:pPr>
      <w:r>
        <w:rPr>
          <w:rFonts w:hint="eastAsia" w:ascii="新宋体" w:hAnsi="新宋体" w:eastAsia="新宋体"/>
          <w:color w:val="000000"/>
          <w:sz w:val="24"/>
          <w:szCs w:val="24"/>
        </w:rPr>
        <w:t>5.1数据加工任务定义：用户编写ＳＱＬ加工脚本，生成数据预处理结果，提供给图表制作使用，任务定义包括新建、编辑、删除。</w:t>
      </w:r>
    </w:p>
    <w:p>
      <w:pPr>
        <w:spacing w:line="360" w:lineRule="auto"/>
        <w:ind w:firstLine="480" w:firstLineChars="200"/>
        <w:rPr>
          <w:rFonts w:hint="eastAsia" w:ascii="新宋体" w:hAnsi="新宋体" w:eastAsia="新宋体"/>
          <w:color w:val="000000"/>
          <w:sz w:val="24"/>
          <w:szCs w:val="24"/>
        </w:rPr>
      </w:pPr>
      <w:r>
        <w:rPr>
          <w:rFonts w:hint="eastAsia" w:ascii="新宋体" w:hAnsi="新宋体" w:eastAsia="新宋体"/>
          <w:color w:val="000000"/>
          <w:sz w:val="24"/>
          <w:szCs w:val="24"/>
        </w:rPr>
        <w:t>5.2加工任务调度：用户自行结合数据预处理需要，设定数据加工频率、时间等，系统自动记录任务执行结果和时间效率。</w:t>
      </w:r>
    </w:p>
    <w:p>
      <w:pPr>
        <w:spacing w:line="360" w:lineRule="auto"/>
        <w:ind w:firstLine="480" w:firstLineChars="200"/>
        <w:rPr>
          <w:rFonts w:hint="eastAsia" w:ascii="新宋体" w:hAnsi="新宋体" w:eastAsia="新宋体"/>
          <w:color w:val="000000"/>
          <w:sz w:val="24"/>
          <w:szCs w:val="24"/>
        </w:rPr>
      </w:pPr>
      <w:r>
        <w:rPr>
          <w:rFonts w:hint="eastAsia" w:ascii="新宋体" w:hAnsi="新宋体" w:eastAsia="新宋体"/>
          <w:color w:val="000000"/>
          <w:sz w:val="24"/>
          <w:szCs w:val="24"/>
        </w:rPr>
        <w:t>5.3加工任务编排：用户可编排依次执行的加工任务，任务按照顺序自动执行。</w:t>
      </w:r>
    </w:p>
    <w:p>
      <w:pPr>
        <w:spacing w:line="360" w:lineRule="auto"/>
        <w:ind w:firstLine="480" w:firstLineChars="200"/>
        <w:rPr>
          <w:rFonts w:hint="eastAsia" w:ascii="新宋体" w:hAnsi="新宋体" w:eastAsia="新宋体"/>
          <w:color w:val="000000"/>
          <w:sz w:val="24"/>
          <w:szCs w:val="24"/>
        </w:rPr>
      </w:pPr>
      <w:r>
        <w:rPr>
          <w:rFonts w:hint="eastAsia" w:ascii="新宋体" w:hAnsi="新宋体" w:eastAsia="新宋体"/>
          <w:color w:val="000000"/>
          <w:sz w:val="24"/>
          <w:szCs w:val="24"/>
        </w:rPr>
        <w:t>5.4　加工信息监控：对调度异常，数据加工一次数据进行监控形成监控清单，并能通过邮件方式通知相关负责人，并完成异常处理工作进行登记，便于查询。</w:t>
      </w:r>
    </w:p>
    <w:p>
      <w:pPr>
        <w:pStyle w:val="16"/>
        <w:spacing w:line="360" w:lineRule="auto"/>
        <w:ind w:left="359" w:leftChars="171" w:firstLine="241" w:firstLineChars="100"/>
        <w:rPr>
          <w:rFonts w:hint="eastAsia" w:ascii="新宋体" w:hAnsi="新宋体" w:eastAsia="新宋体" w:cs="仿宋"/>
          <w:b/>
          <w:sz w:val="24"/>
        </w:rPr>
      </w:pPr>
      <w:r>
        <w:rPr>
          <w:rFonts w:hint="eastAsia" w:ascii="新宋体" w:hAnsi="新宋体" w:eastAsia="新宋体" w:cs="仿宋"/>
          <w:b/>
          <w:sz w:val="24"/>
        </w:rPr>
        <w:t>功能须满足以下特性：</w:t>
      </w:r>
    </w:p>
    <w:p>
      <w:pPr>
        <w:spacing w:line="360" w:lineRule="auto"/>
        <w:ind w:firstLine="480" w:firstLineChars="200"/>
        <w:rPr>
          <w:rFonts w:hint="eastAsia" w:ascii="新宋体" w:hAnsi="新宋体" w:eastAsia="新宋体"/>
          <w:color w:val="000000"/>
          <w:sz w:val="24"/>
          <w:szCs w:val="24"/>
        </w:rPr>
      </w:pPr>
      <w:r>
        <w:rPr>
          <w:rFonts w:hint="eastAsia" w:ascii="新宋体" w:hAnsi="新宋体" w:eastAsia="新宋体"/>
          <w:color w:val="000000"/>
          <w:sz w:val="24"/>
          <w:szCs w:val="24"/>
        </w:rPr>
        <w:t>5.5　对执行较慢的ＳＱＬ性能自动收集，供后续优化加工任务参考。</w:t>
      </w:r>
    </w:p>
    <w:p>
      <w:pPr>
        <w:spacing w:line="360" w:lineRule="auto"/>
        <w:rPr>
          <w:rFonts w:hint="eastAsia" w:ascii="新宋体" w:hAnsi="新宋体" w:eastAsia="新宋体"/>
          <w:color w:val="000000"/>
          <w:sz w:val="24"/>
          <w:szCs w:val="24"/>
        </w:rPr>
      </w:pPr>
      <w:r>
        <w:rPr>
          <w:rFonts w:hint="eastAsia" w:ascii="新宋体" w:hAnsi="新宋体" w:eastAsia="新宋体"/>
          <w:color w:val="000000"/>
          <w:sz w:val="24"/>
          <w:szCs w:val="24"/>
        </w:rPr>
        <w:t>6.图文报告制作</w:t>
      </w:r>
    </w:p>
    <w:p>
      <w:pPr>
        <w:spacing w:line="360" w:lineRule="auto"/>
        <w:ind w:firstLine="480" w:firstLineChars="200"/>
        <w:rPr>
          <w:rFonts w:hint="eastAsia" w:ascii="新宋体" w:hAnsi="新宋体" w:eastAsia="新宋体"/>
          <w:color w:val="000000"/>
          <w:sz w:val="24"/>
          <w:szCs w:val="24"/>
        </w:rPr>
      </w:pPr>
      <w:r>
        <w:rPr>
          <w:rFonts w:hint="eastAsia" w:ascii="新宋体" w:hAnsi="新宋体" w:eastAsia="新宋体"/>
          <w:color w:val="000000"/>
          <w:sz w:val="24"/>
          <w:szCs w:val="24"/>
        </w:rPr>
        <w:t>用户可使用系统的图表编制可视化的图文报告，可方便、便捷、快速完成报告的编制；根据自定义的图表模版进行报告设置，把相关动态图表信息添加到报告模版中，快速形成图文报告。　</w:t>
      </w:r>
    </w:p>
    <w:p>
      <w:pPr>
        <w:spacing w:line="360" w:lineRule="auto"/>
        <w:rPr>
          <w:rFonts w:hint="eastAsia" w:ascii="新宋体" w:hAnsi="新宋体" w:eastAsia="新宋体"/>
          <w:color w:val="000000"/>
          <w:sz w:val="24"/>
          <w:szCs w:val="24"/>
        </w:rPr>
      </w:pPr>
      <w:r>
        <w:rPr>
          <w:rFonts w:hint="eastAsia" w:ascii="新宋体" w:hAnsi="新宋体" w:eastAsia="新宋体"/>
          <w:color w:val="000000"/>
          <w:sz w:val="24"/>
          <w:szCs w:val="24"/>
        </w:rPr>
        <w:t>7.外部系统模版接入</w:t>
      </w:r>
    </w:p>
    <w:p>
      <w:pPr>
        <w:spacing w:line="360" w:lineRule="auto"/>
        <w:ind w:firstLine="480" w:firstLineChars="200"/>
        <w:rPr>
          <w:rFonts w:hint="eastAsia" w:ascii="新宋体" w:hAnsi="新宋体" w:eastAsia="新宋体"/>
          <w:color w:val="000000"/>
          <w:sz w:val="24"/>
          <w:szCs w:val="24"/>
        </w:rPr>
      </w:pPr>
      <w:r>
        <w:rPr>
          <w:rFonts w:hint="eastAsia" w:ascii="新宋体" w:hAnsi="新宋体" w:eastAsia="新宋体"/>
          <w:color w:val="000000"/>
          <w:sz w:val="24"/>
          <w:szCs w:val="24"/>
        </w:rPr>
        <w:t>能够支持接入第三方外系统查询模板功能,便于外系统的功能页面快速的集成到本系统，形成数据查询功能，从而减少二次开发的成本，也减少用户多系统登录切换的繁琐。可以对外部图表基础信息进行设置，发布，取消接入，授权等操作。</w:t>
      </w:r>
    </w:p>
    <w:p>
      <w:pPr>
        <w:spacing w:line="360" w:lineRule="auto"/>
        <w:rPr>
          <w:rFonts w:hint="eastAsia" w:ascii="新宋体" w:hAnsi="新宋体" w:eastAsia="新宋体"/>
          <w:color w:val="000000"/>
          <w:sz w:val="24"/>
          <w:szCs w:val="24"/>
        </w:rPr>
      </w:pPr>
      <w:r>
        <w:rPr>
          <w:rFonts w:hint="eastAsia" w:ascii="新宋体" w:hAnsi="新宋体" w:eastAsia="新宋体"/>
          <w:color w:val="000000"/>
          <w:sz w:val="24"/>
          <w:szCs w:val="24"/>
        </w:rPr>
        <w:t xml:space="preserve">8.优化自定义数据拼盘组合 </w:t>
      </w:r>
    </w:p>
    <w:p>
      <w:pPr>
        <w:spacing w:line="360" w:lineRule="auto"/>
        <w:ind w:firstLine="480" w:firstLineChars="200"/>
        <w:rPr>
          <w:rFonts w:hint="eastAsia" w:ascii="新宋体" w:hAnsi="新宋体" w:eastAsia="新宋体"/>
          <w:color w:val="000000"/>
          <w:sz w:val="24"/>
          <w:szCs w:val="24"/>
        </w:rPr>
      </w:pPr>
      <w:r>
        <w:rPr>
          <w:rFonts w:hint="eastAsia" w:ascii="新宋体" w:hAnsi="新宋体" w:eastAsia="新宋体"/>
          <w:color w:val="000000"/>
          <w:sz w:val="24"/>
          <w:szCs w:val="24"/>
        </w:rPr>
        <w:t>用户对平台提供的各类数据图表进行分类组合，对主题内容相关的图表，自</w:t>
      </w:r>
    </w:p>
    <w:p>
      <w:pPr>
        <w:spacing w:line="360" w:lineRule="auto"/>
        <w:ind w:firstLine="480" w:firstLineChars="200"/>
        <w:rPr>
          <w:rFonts w:hint="eastAsia" w:ascii="新宋体" w:hAnsi="新宋体" w:eastAsia="新宋体"/>
          <w:color w:val="000000"/>
          <w:sz w:val="24"/>
          <w:szCs w:val="24"/>
        </w:rPr>
      </w:pPr>
      <w:r>
        <w:rPr>
          <w:rFonts w:hint="eastAsia" w:ascii="新宋体" w:hAnsi="新宋体" w:eastAsia="新宋体"/>
          <w:color w:val="000000"/>
          <w:sz w:val="24"/>
          <w:szCs w:val="24"/>
        </w:rPr>
        <w:t>定义成一个数据拼盘，方便用户直观查看一系列图表内容。</w:t>
      </w:r>
    </w:p>
    <w:p>
      <w:pPr>
        <w:pStyle w:val="16"/>
        <w:spacing w:line="360" w:lineRule="auto"/>
        <w:ind w:left="359" w:leftChars="171" w:firstLine="241" w:firstLineChars="100"/>
        <w:rPr>
          <w:rFonts w:hint="eastAsia" w:ascii="新宋体" w:hAnsi="新宋体" w:eastAsia="新宋体" w:cs="仿宋"/>
          <w:b/>
          <w:sz w:val="24"/>
        </w:rPr>
      </w:pPr>
      <w:r>
        <w:rPr>
          <w:rFonts w:hint="eastAsia" w:ascii="新宋体" w:hAnsi="新宋体" w:eastAsia="新宋体" w:cs="仿宋"/>
          <w:b/>
          <w:sz w:val="24"/>
        </w:rPr>
        <w:t>功能须满足以下特性：</w:t>
      </w:r>
    </w:p>
    <w:p>
      <w:pPr>
        <w:spacing w:line="360" w:lineRule="auto"/>
        <w:ind w:firstLine="480" w:firstLineChars="200"/>
        <w:rPr>
          <w:rFonts w:hint="eastAsia" w:ascii="新宋体" w:hAnsi="新宋体" w:eastAsia="新宋体"/>
          <w:color w:val="000000"/>
          <w:sz w:val="24"/>
          <w:szCs w:val="24"/>
        </w:rPr>
      </w:pPr>
      <w:r>
        <w:rPr>
          <w:rFonts w:hint="eastAsia" w:ascii="新宋体" w:hAnsi="新宋体" w:eastAsia="新宋体"/>
          <w:color w:val="000000"/>
          <w:sz w:val="24"/>
          <w:szCs w:val="24"/>
        </w:rPr>
        <w:t>8.1　支持用户对组合里的图表卡片进行自定义布局，灵活满足各种布局结构。结合卡片大小自动适应。</w:t>
      </w:r>
    </w:p>
    <w:p>
      <w:pPr>
        <w:spacing w:line="360" w:lineRule="auto"/>
        <w:ind w:firstLine="480" w:firstLineChars="200"/>
        <w:rPr>
          <w:rFonts w:hint="eastAsia" w:ascii="新宋体" w:hAnsi="新宋体" w:eastAsia="新宋体"/>
          <w:color w:val="000000"/>
          <w:sz w:val="24"/>
          <w:szCs w:val="24"/>
        </w:rPr>
      </w:pPr>
      <w:r>
        <w:rPr>
          <w:rFonts w:hint="eastAsia" w:ascii="新宋体" w:hAnsi="新宋体" w:eastAsia="新宋体"/>
          <w:color w:val="000000"/>
          <w:sz w:val="24"/>
          <w:szCs w:val="24"/>
        </w:rPr>
        <w:t>8.2　拼盘的大小、位置可以拖拽调整。</w:t>
      </w:r>
    </w:p>
    <w:p>
      <w:pPr>
        <w:spacing w:line="360" w:lineRule="auto"/>
        <w:ind w:firstLine="480" w:firstLineChars="200"/>
        <w:rPr>
          <w:rFonts w:hint="eastAsia" w:ascii="新宋体" w:hAnsi="新宋体" w:eastAsia="新宋体"/>
          <w:color w:val="000000"/>
          <w:sz w:val="24"/>
          <w:szCs w:val="24"/>
        </w:rPr>
      </w:pPr>
      <w:r>
        <w:rPr>
          <w:rFonts w:hint="eastAsia" w:ascii="新宋体" w:hAnsi="新宋体" w:eastAsia="新宋体"/>
          <w:color w:val="000000"/>
          <w:sz w:val="24"/>
          <w:szCs w:val="24"/>
        </w:rPr>
        <w:t>8.3　拼盘支持被外部系统集成引用，减少外部系统开发，且自适应显示。</w:t>
      </w:r>
    </w:p>
    <w:p>
      <w:pPr>
        <w:pStyle w:val="5"/>
        <w:spacing w:before="0" w:after="0" w:line="360" w:lineRule="auto"/>
        <w:rPr>
          <w:rFonts w:hint="eastAsia" w:ascii="新宋体" w:hAnsi="新宋体" w:eastAsia="新宋体"/>
          <w:bCs w:val="0"/>
          <w:sz w:val="24"/>
          <w:szCs w:val="24"/>
        </w:rPr>
      </w:pPr>
      <w:r>
        <w:rPr>
          <w:rFonts w:hint="eastAsia" w:ascii="新宋体" w:hAnsi="新宋体" w:eastAsia="新宋体"/>
          <w:bCs w:val="0"/>
          <w:sz w:val="24"/>
          <w:szCs w:val="24"/>
        </w:rPr>
        <w:t>二、系统安全要求</w:t>
      </w:r>
    </w:p>
    <w:p>
      <w:pPr>
        <w:spacing w:line="360" w:lineRule="auto"/>
        <w:ind w:firstLine="480" w:firstLineChars="200"/>
        <w:rPr>
          <w:rFonts w:hint="eastAsia" w:ascii="新宋体" w:hAnsi="新宋体" w:eastAsia="新宋体"/>
          <w:color w:val="000000"/>
          <w:sz w:val="24"/>
          <w:szCs w:val="24"/>
        </w:rPr>
      </w:pPr>
      <w:r>
        <w:rPr>
          <w:rFonts w:hint="eastAsia" w:ascii="新宋体" w:hAnsi="新宋体" w:eastAsia="新宋体"/>
          <w:color w:val="000000"/>
          <w:sz w:val="24"/>
          <w:szCs w:val="24"/>
        </w:rPr>
        <w:t>在合同执行过程中，投标人必须遵守采购人计算机管理安全保密及系统运维的各项规定，因投标人责任造成事故的，应根据深圳市税务局有关运维责任事故认定标准，追究投标人的经济责任。</w:t>
      </w:r>
    </w:p>
    <w:p>
      <w:pPr>
        <w:spacing w:line="360" w:lineRule="auto"/>
        <w:ind w:firstLine="480" w:firstLineChars="200"/>
        <w:rPr>
          <w:rFonts w:hint="eastAsia" w:ascii="新宋体" w:hAnsi="新宋体" w:eastAsia="新宋体"/>
          <w:color w:val="000000"/>
          <w:sz w:val="24"/>
          <w:szCs w:val="24"/>
        </w:rPr>
      </w:pPr>
      <w:r>
        <w:rPr>
          <w:rFonts w:hint="eastAsia" w:ascii="新宋体" w:hAnsi="新宋体" w:eastAsia="新宋体"/>
          <w:color w:val="000000"/>
          <w:sz w:val="24"/>
          <w:szCs w:val="24"/>
        </w:rPr>
        <w:t>另外，在合同执行过程中，投标人必须遵守国家税务总局《国家税务总局办公厅关于加强应用系统安全保障工作的通知》（税总办发〔2017〕21号）随文发布的《税务应用系统网络安全审核指南（试行）》（以下简称《审核指南》），遵从《审核指南》的各项进度要求开展工作。</w:t>
      </w:r>
    </w:p>
    <w:p>
      <w:pPr>
        <w:pStyle w:val="5"/>
        <w:spacing w:before="0" w:after="0" w:line="360" w:lineRule="auto"/>
        <w:rPr>
          <w:rFonts w:hint="eastAsia" w:ascii="新宋体" w:hAnsi="新宋体" w:eastAsia="新宋体"/>
          <w:bCs w:val="0"/>
          <w:sz w:val="24"/>
          <w:szCs w:val="24"/>
        </w:rPr>
      </w:pPr>
      <w:r>
        <w:rPr>
          <w:rFonts w:hint="eastAsia" w:ascii="新宋体" w:hAnsi="新宋体" w:eastAsia="新宋体"/>
          <w:bCs w:val="0"/>
          <w:sz w:val="24"/>
          <w:szCs w:val="24"/>
        </w:rPr>
        <w:t>三、实施阶段主要交付物</w:t>
      </w:r>
    </w:p>
    <w:tbl>
      <w:tblPr>
        <w:tblStyle w:val="8"/>
        <w:tblW w:w="0" w:type="auto"/>
        <w:jc w:val="center"/>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Layout w:type="fixed"/>
        <w:tblCellMar>
          <w:top w:w="0" w:type="dxa"/>
          <w:left w:w="108" w:type="dxa"/>
          <w:bottom w:w="0" w:type="dxa"/>
          <w:right w:w="108" w:type="dxa"/>
        </w:tblCellMar>
      </w:tblPr>
      <w:tblGrid>
        <w:gridCol w:w="3686"/>
        <w:gridCol w:w="2679"/>
        <w:gridCol w:w="2534"/>
      </w:tblGrid>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0" w:type="dxa"/>
            <w:left w:w="108" w:type="dxa"/>
            <w:bottom w:w="0" w:type="dxa"/>
            <w:right w:w="108" w:type="dxa"/>
          </w:tblCellMar>
        </w:tblPrEx>
        <w:trPr>
          <w:trHeight w:val="395" w:hRule="atLeast"/>
          <w:tblHeader/>
          <w:jc w:val="center"/>
        </w:trPr>
        <w:tc>
          <w:tcPr>
            <w:tcW w:w="3686" w:type="dxa"/>
            <w:tcBorders>
              <w:top w:val="double" w:color="auto" w:sz="4" w:space="0"/>
              <w:left w:val="double" w:color="auto" w:sz="4" w:space="0"/>
              <w:bottom w:val="single" w:color="000000" w:sz="2" w:space="0"/>
              <w:right w:val="single" w:color="000000" w:sz="2" w:space="0"/>
            </w:tcBorders>
            <w:shd w:val="clear" w:color="auto" w:fill="FFFFFF"/>
            <w:noWrap w:val="0"/>
            <w:vAlign w:val="center"/>
          </w:tcPr>
          <w:p>
            <w:pPr>
              <w:autoSpaceDE w:val="0"/>
              <w:autoSpaceDN w:val="0"/>
              <w:adjustRightInd w:val="0"/>
              <w:spacing w:line="360" w:lineRule="auto"/>
              <w:jc w:val="center"/>
              <w:rPr>
                <w:rFonts w:hint="eastAsia" w:ascii="新宋体" w:hAnsi="新宋体" w:eastAsia="新宋体"/>
                <w:b/>
                <w:sz w:val="24"/>
                <w:szCs w:val="24"/>
              </w:rPr>
            </w:pPr>
            <w:r>
              <w:rPr>
                <w:rFonts w:hint="eastAsia" w:ascii="新宋体" w:hAnsi="新宋体" w:eastAsia="新宋体"/>
                <w:b/>
                <w:sz w:val="24"/>
                <w:szCs w:val="24"/>
              </w:rPr>
              <w:t>文档名称</w:t>
            </w:r>
          </w:p>
        </w:tc>
        <w:tc>
          <w:tcPr>
            <w:tcW w:w="2679" w:type="dxa"/>
            <w:tcBorders>
              <w:top w:val="double" w:color="auto" w:sz="4"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360" w:lineRule="auto"/>
              <w:jc w:val="center"/>
              <w:rPr>
                <w:rFonts w:hint="eastAsia" w:ascii="新宋体" w:hAnsi="新宋体" w:eastAsia="新宋体"/>
                <w:b/>
                <w:sz w:val="24"/>
                <w:szCs w:val="24"/>
              </w:rPr>
            </w:pPr>
            <w:r>
              <w:rPr>
                <w:rFonts w:hint="eastAsia" w:ascii="新宋体" w:hAnsi="新宋体" w:eastAsia="新宋体"/>
                <w:b/>
                <w:sz w:val="24"/>
                <w:szCs w:val="24"/>
              </w:rPr>
              <w:t>介质</w:t>
            </w:r>
          </w:p>
        </w:tc>
        <w:tc>
          <w:tcPr>
            <w:tcW w:w="2534" w:type="dxa"/>
            <w:tcBorders>
              <w:top w:val="double" w:color="auto" w:sz="4" w:space="0"/>
              <w:left w:val="single" w:color="000000" w:sz="2" w:space="0"/>
              <w:bottom w:val="single" w:color="000000" w:sz="2" w:space="0"/>
              <w:right w:val="double" w:color="auto" w:sz="4" w:space="0"/>
            </w:tcBorders>
            <w:shd w:val="clear" w:color="auto" w:fill="FFFFFF"/>
            <w:noWrap w:val="0"/>
            <w:vAlign w:val="center"/>
          </w:tcPr>
          <w:p>
            <w:pPr>
              <w:autoSpaceDE w:val="0"/>
              <w:autoSpaceDN w:val="0"/>
              <w:adjustRightInd w:val="0"/>
              <w:spacing w:line="360" w:lineRule="auto"/>
              <w:jc w:val="center"/>
              <w:rPr>
                <w:rFonts w:hint="eastAsia" w:ascii="新宋体" w:hAnsi="新宋体" w:eastAsia="新宋体"/>
                <w:b/>
                <w:sz w:val="24"/>
                <w:szCs w:val="24"/>
              </w:rPr>
            </w:pPr>
            <w:r>
              <w:rPr>
                <w:rFonts w:hint="eastAsia" w:ascii="新宋体" w:hAnsi="新宋体" w:eastAsia="新宋体"/>
                <w:b/>
                <w:sz w:val="24"/>
                <w:szCs w:val="24"/>
              </w:rPr>
              <w:t>产生阶段</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0" w:type="dxa"/>
            <w:left w:w="108" w:type="dxa"/>
            <w:bottom w:w="0" w:type="dxa"/>
            <w:right w:w="108" w:type="dxa"/>
          </w:tblCellMar>
        </w:tblPrEx>
        <w:trPr>
          <w:trHeight w:val="1" w:hRule="atLeast"/>
          <w:jc w:val="center"/>
        </w:trPr>
        <w:tc>
          <w:tcPr>
            <w:tcW w:w="3686" w:type="dxa"/>
            <w:tcBorders>
              <w:top w:val="single" w:color="000000" w:sz="2" w:space="0"/>
              <w:left w:val="double" w:color="auto" w:sz="4" w:space="0"/>
              <w:bottom w:val="single" w:color="000000" w:sz="2" w:space="0"/>
              <w:right w:val="single" w:color="000000" w:sz="2" w:space="0"/>
            </w:tcBorders>
            <w:shd w:val="clear" w:color="auto" w:fill="FFFFFF"/>
            <w:noWrap w:val="0"/>
            <w:vAlign w:val="center"/>
          </w:tcPr>
          <w:p>
            <w:pPr>
              <w:autoSpaceDE w:val="0"/>
              <w:autoSpaceDN w:val="0"/>
              <w:adjustRightInd w:val="0"/>
              <w:spacing w:line="360" w:lineRule="auto"/>
              <w:jc w:val="center"/>
              <w:rPr>
                <w:rFonts w:hint="eastAsia" w:ascii="新宋体" w:hAnsi="新宋体" w:eastAsia="新宋体"/>
                <w:sz w:val="24"/>
                <w:szCs w:val="24"/>
              </w:rPr>
            </w:pPr>
            <w:r>
              <w:rPr>
                <w:rFonts w:hint="eastAsia" w:ascii="新宋体" w:hAnsi="新宋体" w:eastAsia="新宋体"/>
                <w:sz w:val="24"/>
                <w:szCs w:val="24"/>
              </w:rPr>
              <w:t>项目工作说明书</w:t>
            </w:r>
          </w:p>
        </w:tc>
        <w:tc>
          <w:tcPr>
            <w:tcW w:w="267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360" w:lineRule="auto"/>
              <w:jc w:val="center"/>
              <w:rPr>
                <w:rFonts w:hint="eastAsia" w:ascii="新宋体" w:hAnsi="新宋体" w:eastAsia="新宋体"/>
                <w:sz w:val="24"/>
                <w:szCs w:val="24"/>
              </w:rPr>
            </w:pPr>
            <w:r>
              <w:rPr>
                <w:rFonts w:hint="eastAsia" w:ascii="新宋体" w:hAnsi="新宋体" w:eastAsia="新宋体"/>
                <w:sz w:val="24"/>
                <w:szCs w:val="24"/>
              </w:rPr>
              <w:t>电子及纸质</w:t>
            </w:r>
          </w:p>
        </w:tc>
        <w:tc>
          <w:tcPr>
            <w:tcW w:w="2534" w:type="dxa"/>
            <w:tcBorders>
              <w:top w:val="single" w:color="000000" w:sz="2" w:space="0"/>
              <w:left w:val="single" w:color="000000" w:sz="2" w:space="0"/>
              <w:bottom w:val="single" w:color="000000" w:sz="2" w:space="0"/>
              <w:right w:val="double" w:color="auto" w:sz="4" w:space="0"/>
            </w:tcBorders>
            <w:shd w:val="clear" w:color="auto" w:fill="FFFFFF"/>
            <w:noWrap w:val="0"/>
            <w:vAlign w:val="center"/>
          </w:tcPr>
          <w:p>
            <w:pPr>
              <w:autoSpaceDE w:val="0"/>
              <w:autoSpaceDN w:val="0"/>
              <w:adjustRightInd w:val="0"/>
              <w:spacing w:line="360" w:lineRule="auto"/>
              <w:jc w:val="center"/>
              <w:rPr>
                <w:rFonts w:hint="eastAsia" w:ascii="新宋体" w:hAnsi="新宋体" w:eastAsia="新宋体"/>
                <w:sz w:val="24"/>
                <w:szCs w:val="24"/>
              </w:rPr>
            </w:pPr>
            <w:r>
              <w:rPr>
                <w:rFonts w:hint="eastAsia" w:ascii="新宋体" w:hAnsi="新宋体" w:eastAsia="新宋体"/>
                <w:sz w:val="24"/>
                <w:szCs w:val="24"/>
              </w:rPr>
              <w:t>筹备阶段</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0" w:type="dxa"/>
            <w:left w:w="108" w:type="dxa"/>
            <w:bottom w:w="0" w:type="dxa"/>
            <w:right w:w="108" w:type="dxa"/>
          </w:tblCellMar>
        </w:tblPrEx>
        <w:trPr>
          <w:trHeight w:val="1" w:hRule="atLeast"/>
          <w:jc w:val="center"/>
        </w:trPr>
        <w:tc>
          <w:tcPr>
            <w:tcW w:w="3686" w:type="dxa"/>
            <w:tcBorders>
              <w:top w:val="single" w:color="000000" w:sz="2" w:space="0"/>
              <w:left w:val="double" w:color="auto" w:sz="4" w:space="0"/>
              <w:bottom w:val="single" w:color="000000" w:sz="2" w:space="0"/>
              <w:right w:val="single" w:color="000000" w:sz="2" w:space="0"/>
            </w:tcBorders>
            <w:shd w:val="clear" w:color="auto" w:fill="FFFFFF"/>
            <w:noWrap w:val="0"/>
            <w:vAlign w:val="center"/>
          </w:tcPr>
          <w:p>
            <w:pPr>
              <w:autoSpaceDE w:val="0"/>
              <w:autoSpaceDN w:val="0"/>
              <w:adjustRightInd w:val="0"/>
              <w:spacing w:line="360" w:lineRule="auto"/>
              <w:jc w:val="center"/>
              <w:rPr>
                <w:rFonts w:hint="eastAsia" w:ascii="新宋体" w:hAnsi="新宋体" w:eastAsia="新宋体"/>
                <w:sz w:val="24"/>
                <w:szCs w:val="24"/>
              </w:rPr>
            </w:pPr>
            <w:r>
              <w:rPr>
                <w:rFonts w:hint="eastAsia" w:ascii="新宋体" w:hAnsi="新宋体" w:eastAsia="新宋体"/>
                <w:sz w:val="24"/>
                <w:szCs w:val="24"/>
              </w:rPr>
              <w:t>项目总体计划</w:t>
            </w:r>
          </w:p>
        </w:tc>
        <w:tc>
          <w:tcPr>
            <w:tcW w:w="267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360" w:lineRule="auto"/>
              <w:jc w:val="center"/>
              <w:rPr>
                <w:rFonts w:hint="eastAsia" w:ascii="新宋体" w:hAnsi="新宋体" w:eastAsia="新宋体"/>
                <w:sz w:val="24"/>
                <w:szCs w:val="24"/>
              </w:rPr>
            </w:pPr>
            <w:r>
              <w:rPr>
                <w:rFonts w:hint="eastAsia" w:ascii="新宋体" w:hAnsi="新宋体" w:eastAsia="新宋体"/>
                <w:sz w:val="24"/>
                <w:szCs w:val="24"/>
              </w:rPr>
              <w:t>电子及纸质</w:t>
            </w:r>
          </w:p>
        </w:tc>
        <w:tc>
          <w:tcPr>
            <w:tcW w:w="2534" w:type="dxa"/>
            <w:tcBorders>
              <w:top w:val="single" w:color="000000" w:sz="2" w:space="0"/>
              <w:left w:val="single" w:color="000000" w:sz="2" w:space="0"/>
              <w:bottom w:val="single" w:color="000000" w:sz="2" w:space="0"/>
              <w:right w:val="double" w:color="auto" w:sz="4" w:space="0"/>
            </w:tcBorders>
            <w:shd w:val="clear" w:color="auto" w:fill="FFFFFF"/>
            <w:noWrap w:val="0"/>
            <w:vAlign w:val="center"/>
          </w:tcPr>
          <w:p>
            <w:pPr>
              <w:autoSpaceDE w:val="0"/>
              <w:autoSpaceDN w:val="0"/>
              <w:adjustRightInd w:val="0"/>
              <w:spacing w:line="360" w:lineRule="auto"/>
              <w:jc w:val="center"/>
              <w:rPr>
                <w:rFonts w:hint="eastAsia" w:ascii="新宋体" w:hAnsi="新宋体" w:eastAsia="新宋体"/>
                <w:sz w:val="24"/>
                <w:szCs w:val="24"/>
              </w:rPr>
            </w:pPr>
            <w:r>
              <w:rPr>
                <w:rFonts w:hint="eastAsia" w:ascii="新宋体" w:hAnsi="新宋体" w:eastAsia="新宋体"/>
                <w:sz w:val="24"/>
                <w:szCs w:val="24"/>
              </w:rPr>
              <w:t>筹备阶段</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0" w:type="dxa"/>
            <w:left w:w="108" w:type="dxa"/>
            <w:bottom w:w="0" w:type="dxa"/>
            <w:right w:w="108" w:type="dxa"/>
          </w:tblCellMar>
        </w:tblPrEx>
        <w:trPr>
          <w:trHeight w:val="1" w:hRule="atLeast"/>
          <w:jc w:val="center"/>
        </w:trPr>
        <w:tc>
          <w:tcPr>
            <w:tcW w:w="3686" w:type="dxa"/>
            <w:tcBorders>
              <w:top w:val="single" w:color="000000" w:sz="2" w:space="0"/>
              <w:left w:val="double" w:color="auto" w:sz="4" w:space="0"/>
              <w:bottom w:val="single" w:color="000000" w:sz="2" w:space="0"/>
              <w:right w:val="single" w:color="000000" w:sz="2" w:space="0"/>
            </w:tcBorders>
            <w:shd w:val="clear" w:color="auto" w:fill="FFFFFF"/>
            <w:noWrap w:val="0"/>
            <w:vAlign w:val="center"/>
          </w:tcPr>
          <w:p>
            <w:pPr>
              <w:autoSpaceDE w:val="0"/>
              <w:autoSpaceDN w:val="0"/>
              <w:adjustRightInd w:val="0"/>
              <w:spacing w:line="360" w:lineRule="auto"/>
              <w:jc w:val="center"/>
              <w:rPr>
                <w:rFonts w:hint="eastAsia" w:ascii="新宋体" w:hAnsi="新宋体" w:eastAsia="新宋体"/>
                <w:sz w:val="24"/>
                <w:szCs w:val="24"/>
              </w:rPr>
            </w:pPr>
            <w:r>
              <w:rPr>
                <w:rFonts w:hint="eastAsia" w:ascii="新宋体" w:hAnsi="新宋体" w:eastAsia="新宋体"/>
                <w:sz w:val="24"/>
                <w:szCs w:val="24"/>
              </w:rPr>
              <w:t>需求规格说明书</w:t>
            </w:r>
          </w:p>
        </w:tc>
        <w:tc>
          <w:tcPr>
            <w:tcW w:w="267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360" w:lineRule="auto"/>
              <w:jc w:val="center"/>
              <w:rPr>
                <w:rFonts w:hint="eastAsia" w:ascii="新宋体" w:hAnsi="新宋体" w:eastAsia="新宋体"/>
                <w:sz w:val="24"/>
                <w:szCs w:val="24"/>
              </w:rPr>
            </w:pPr>
            <w:r>
              <w:rPr>
                <w:rFonts w:hint="eastAsia" w:ascii="新宋体" w:hAnsi="新宋体" w:eastAsia="新宋体"/>
                <w:sz w:val="24"/>
                <w:szCs w:val="24"/>
              </w:rPr>
              <w:t>电子及纸质</w:t>
            </w:r>
          </w:p>
        </w:tc>
        <w:tc>
          <w:tcPr>
            <w:tcW w:w="2534" w:type="dxa"/>
            <w:tcBorders>
              <w:top w:val="single" w:color="000000" w:sz="2" w:space="0"/>
              <w:left w:val="single" w:color="000000" w:sz="2" w:space="0"/>
              <w:bottom w:val="single" w:color="000000" w:sz="2" w:space="0"/>
              <w:right w:val="double" w:color="auto" w:sz="4" w:space="0"/>
            </w:tcBorders>
            <w:shd w:val="clear" w:color="auto" w:fill="FFFFFF"/>
            <w:noWrap w:val="0"/>
            <w:vAlign w:val="center"/>
          </w:tcPr>
          <w:p>
            <w:pPr>
              <w:autoSpaceDE w:val="0"/>
              <w:autoSpaceDN w:val="0"/>
              <w:adjustRightInd w:val="0"/>
              <w:spacing w:line="360" w:lineRule="auto"/>
              <w:jc w:val="center"/>
              <w:rPr>
                <w:rFonts w:hint="eastAsia" w:ascii="新宋体" w:hAnsi="新宋体" w:eastAsia="新宋体"/>
                <w:sz w:val="24"/>
                <w:szCs w:val="24"/>
              </w:rPr>
            </w:pPr>
            <w:r>
              <w:rPr>
                <w:rFonts w:hint="eastAsia" w:ascii="新宋体" w:hAnsi="新宋体" w:eastAsia="新宋体"/>
                <w:sz w:val="24"/>
                <w:szCs w:val="24"/>
              </w:rPr>
              <w:t>需求分析</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0" w:type="dxa"/>
            <w:left w:w="108" w:type="dxa"/>
            <w:bottom w:w="0" w:type="dxa"/>
            <w:right w:w="108" w:type="dxa"/>
          </w:tblCellMar>
        </w:tblPrEx>
        <w:trPr>
          <w:trHeight w:val="1" w:hRule="atLeast"/>
          <w:jc w:val="center"/>
        </w:trPr>
        <w:tc>
          <w:tcPr>
            <w:tcW w:w="3686" w:type="dxa"/>
            <w:tcBorders>
              <w:top w:val="single" w:color="000000" w:sz="2" w:space="0"/>
              <w:left w:val="double" w:color="auto" w:sz="4" w:space="0"/>
              <w:bottom w:val="single" w:color="000000" w:sz="2" w:space="0"/>
              <w:right w:val="single" w:color="000000" w:sz="2" w:space="0"/>
            </w:tcBorders>
            <w:shd w:val="clear" w:color="auto" w:fill="FFFFFF"/>
            <w:noWrap w:val="0"/>
            <w:vAlign w:val="center"/>
          </w:tcPr>
          <w:p>
            <w:pPr>
              <w:autoSpaceDE w:val="0"/>
              <w:autoSpaceDN w:val="0"/>
              <w:adjustRightInd w:val="0"/>
              <w:spacing w:line="360" w:lineRule="auto"/>
              <w:jc w:val="center"/>
              <w:rPr>
                <w:rFonts w:hint="eastAsia" w:ascii="新宋体" w:hAnsi="新宋体" w:eastAsia="新宋体"/>
                <w:sz w:val="24"/>
                <w:szCs w:val="24"/>
              </w:rPr>
            </w:pPr>
            <w:r>
              <w:rPr>
                <w:rFonts w:hint="eastAsia" w:ascii="新宋体" w:hAnsi="新宋体" w:eastAsia="新宋体"/>
                <w:sz w:val="24"/>
                <w:szCs w:val="24"/>
              </w:rPr>
              <w:t>概要设计说明书</w:t>
            </w:r>
          </w:p>
        </w:tc>
        <w:tc>
          <w:tcPr>
            <w:tcW w:w="267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360" w:lineRule="auto"/>
              <w:jc w:val="center"/>
              <w:rPr>
                <w:rFonts w:hint="eastAsia" w:ascii="新宋体" w:hAnsi="新宋体" w:eastAsia="新宋体"/>
                <w:sz w:val="24"/>
                <w:szCs w:val="24"/>
              </w:rPr>
            </w:pPr>
            <w:r>
              <w:rPr>
                <w:rFonts w:hint="eastAsia" w:ascii="新宋体" w:hAnsi="新宋体" w:eastAsia="新宋体"/>
                <w:sz w:val="24"/>
                <w:szCs w:val="24"/>
              </w:rPr>
              <w:t>电子及纸质</w:t>
            </w:r>
          </w:p>
        </w:tc>
        <w:tc>
          <w:tcPr>
            <w:tcW w:w="2534" w:type="dxa"/>
            <w:tcBorders>
              <w:top w:val="single" w:color="000000" w:sz="2" w:space="0"/>
              <w:left w:val="single" w:color="000000" w:sz="2" w:space="0"/>
              <w:bottom w:val="single" w:color="000000" w:sz="2" w:space="0"/>
              <w:right w:val="double" w:color="auto" w:sz="4" w:space="0"/>
            </w:tcBorders>
            <w:shd w:val="clear" w:color="auto" w:fill="FFFFFF"/>
            <w:noWrap w:val="0"/>
            <w:vAlign w:val="center"/>
          </w:tcPr>
          <w:p>
            <w:pPr>
              <w:autoSpaceDE w:val="0"/>
              <w:autoSpaceDN w:val="0"/>
              <w:adjustRightInd w:val="0"/>
              <w:spacing w:line="360" w:lineRule="auto"/>
              <w:jc w:val="center"/>
              <w:rPr>
                <w:rFonts w:hint="eastAsia" w:ascii="新宋体" w:hAnsi="新宋体" w:eastAsia="新宋体"/>
                <w:sz w:val="24"/>
                <w:szCs w:val="24"/>
              </w:rPr>
            </w:pPr>
            <w:r>
              <w:rPr>
                <w:rFonts w:hint="eastAsia" w:ascii="新宋体" w:hAnsi="新宋体" w:eastAsia="新宋体"/>
                <w:sz w:val="24"/>
                <w:szCs w:val="24"/>
              </w:rPr>
              <w:t>系统设计</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0" w:type="dxa"/>
            <w:left w:w="108" w:type="dxa"/>
            <w:bottom w:w="0" w:type="dxa"/>
            <w:right w:w="108" w:type="dxa"/>
          </w:tblCellMar>
        </w:tblPrEx>
        <w:trPr>
          <w:trHeight w:val="1" w:hRule="atLeast"/>
          <w:jc w:val="center"/>
        </w:trPr>
        <w:tc>
          <w:tcPr>
            <w:tcW w:w="3686" w:type="dxa"/>
            <w:tcBorders>
              <w:top w:val="single" w:color="000000" w:sz="2" w:space="0"/>
              <w:left w:val="double" w:color="auto" w:sz="4" w:space="0"/>
              <w:bottom w:val="single" w:color="000000" w:sz="2" w:space="0"/>
              <w:right w:val="single" w:color="000000" w:sz="2" w:space="0"/>
            </w:tcBorders>
            <w:shd w:val="clear" w:color="auto" w:fill="FFFFFF"/>
            <w:noWrap w:val="0"/>
            <w:vAlign w:val="center"/>
          </w:tcPr>
          <w:p>
            <w:pPr>
              <w:autoSpaceDE w:val="0"/>
              <w:autoSpaceDN w:val="0"/>
              <w:adjustRightInd w:val="0"/>
              <w:spacing w:line="360" w:lineRule="auto"/>
              <w:jc w:val="center"/>
              <w:rPr>
                <w:rFonts w:hint="eastAsia" w:ascii="新宋体" w:hAnsi="新宋体" w:eastAsia="新宋体"/>
                <w:sz w:val="24"/>
                <w:szCs w:val="24"/>
              </w:rPr>
            </w:pPr>
            <w:r>
              <w:rPr>
                <w:rFonts w:hint="eastAsia" w:ascii="新宋体" w:hAnsi="新宋体" w:eastAsia="新宋体"/>
                <w:sz w:val="24"/>
                <w:szCs w:val="24"/>
              </w:rPr>
              <w:t>详细设计说明书</w:t>
            </w:r>
          </w:p>
        </w:tc>
        <w:tc>
          <w:tcPr>
            <w:tcW w:w="267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360" w:lineRule="auto"/>
              <w:jc w:val="center"/>
              <w:rPr>
                <w:rFonts w:hint="eastAsia" w:ascii="新宋体" w:hAnsi="新宋体" w:eastAsia="新宋体"/>
                <w:sz w:val="24"/>
                <w:szCs w:val="24"/>
              </w:rPr>
            </w:pPr>
            <w:r>
              <w:rPr>
                <w:rFonts w:hint="eastAsia" w:ascii="新宋体" w:hAnsi="新宋体" w:eastAsia="新宋体"/>
                <w:sz w:val="24"/>
                <w:szCs w:val="24"/>
              </w:rPr>
              <w:t>电子及纸质</w:t>
            </w:r>
          </w:p>
        </w:tc>
        <w:tc>
          <w:tcPr>
            <w:tcW w:w="2534" w:type="dxa"/>
            <w:tcBorders>
              <w:top w:val="single" w:color="000000" w:sz="2" w:space="0"/>
              <w:left w:val="single" w:color="000000" w:sz="2" w:space="0"/>
              <w:bottom w:val="single" w:color="000000" w:sz="2" w:space="0"/>
              <w:right w:val="double" w:color="auto" w:sz="4" w:space="0"/>
            </w:tcBorders>
            <w:shd w:val="clear" w:color="auto" w:fill="FFFFFF"/>
            <w:noWrap w:val="0"/>
            <w:vAlign w:val="center"/>
          </w:tcPr>
          <w:p>
            <w:pPr>
              <w:autoSpaceDE w:val="0"/>
              <w:autoSpaceDN w:val="0"/>
              <w:adjustRightInd w:val="0"/>
              <w:spacing w:line="360" w:lineRule="auto"/>
              <w:jc w:val="center"/>
              <w:rPr>
                <w:rFonts w:hint="eastAsia" w:ascii="新宋体" w:hAnsi="新宋体" w:eastAsia="新宋体"/>
                <w:sz w:val="24"/>
                <w:szCs w:val="24"/>
              </w:rPr>
            </w:pPr>
            <w:r>
              <w:rPr>
                <w:rFonts w:hint="eastAsia" w:ascii="新宋体" w:hAnsi="新宋体" w:eastAsia="新宋体"/>
                <w:sz w:val="24"/>
                <w:szCs w:val="24"/>
              </w:rPr>
              <w:t>系统设计</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0" w:type="dxa"/>
            <w:left w:w="108" w:type="dxa"/>
            <w:bottom w:w="0" w:type="dxa"/>
            <w:right w:w="108" w:type="dxa"/>
          </w:tblCellMar>
        </w:tblPrEx>
        <w:trPr>
          <w:trHeight w:val="1" w:hRule="atLeast"/>
          <w:jc w:val="center"/>
        </w:trPr>
        <w:tc>
          <w:tcPr>
            <w:tcW w:w="3686" w:type="dxa"/>
            <w:tcBorders>
              <w:top w:val="single" w:color="000000" w:sz="2" w:space="0"/>
              <w:left w:val="double" w:color="auto" w:sz="4" w:space="0"/>
              <w:bottom w:val="single" w:color="000000" w:sz="2" w:space="0"/>
              <w:right w:val="single" w:color="000000" w:sz="2" w:space="0"/>
            </w:tcBorders>
            <w:shd w:val="clear" w:color="auto" w:fill="FFFFFF"/>
            <w:noWrap w:val="0"/>
            <w:vAlign w:val="center"/>
          </w:tcPr>
          <w:p>
            <w:pPr>
              <w:autoSpaceDE w:val="0"/>
              <w:autoSpaceDN w:val="0"/>
              <w:adjustRightInd w:val="0"/>
              <w:spacing w:line="360" w:lineRule="auto"/>
              <w:jc w:val="center"/>
              <w:rPr>
                <w:rFonts w:hint="eastAsia" w:ascii="新宋体" w:hAnsi="新宋体" w:eastAsia="新宋体"/>
                <w:sz w:val="24"/>
                <w:szCs w:val="24"/>
              </w:rPr>
            </w:pPr>
            <w:r>
              <w:rPr>
                <w:rFonts w:hint="eastAsia" w:ascii="新宋体" w:hAnsi="新宋体" w:eastAsia="新宋体"/>
                <w:sz w:val="24"/>
                <w:szCs w:val="24"/>
              </w:rPr>
              <w:t>数据库设计说明书</w:t>
            </w:r>
          </w:p>
        </w:tc>
        <w:tc>
          <w:tcPr>
            <w:tcW w:w="267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360" w:lineRule="auto"/>
              <w:jc w:val="center"/>
              <w:rPr>
                <w:rFonts w:hint="eastAsia" w:ascii="新宋体" w:hAnsi="新宋体" w:eastAsia="新宋体"/>
                <w:sz w:val="24"/>
                <w:szCs w:val="24"/>
              </w:rPr>
            </w:pPr>
            <w:r>
              <w:rPr>
                <w:rFonts w:hint="eastAsia" w:ascii="新宋体" w:hAnsi="新宋体" w:eastAsia="新宋体"/>
                <w:sz w:val="24"/>
                <w:szCs w:val="24"/>
              </w:rPr>
              <w:t>电子及纸质</w:t>
            </w:r>
          </w:p>
        </w:tc>
        <w:tc>
          <w:tcPr>
            <w:tcW w:w="2534" w:type="dxa"/>
            <w:tcBorders>
              <w:top w:val="single" w:color="000000" w:sz="2" w:space="0"/>
              <w:left w:val="single" w:color="000000" w:sz="2" w:space="0"/>
              <w:bottom w:val="single" w:color="000000" w:sz="2" w:space="0"/>
              <w:right w:val="double" w:color="auto" w:sz="4" w:space="0"/>
            </w:tcBorders>
            <w:shd w:val="clear" w:color="auto" w:fill="FFFFFF"/>
            <w:noWrap w:val="0"/>
            <w:vAlign w:val="center"/>
          </w:tcPr>
          <w:p>
            <w:pPr>
              <w:autoSpaceDE w:val="0"/>
              <w:autoSpaceDN w:val="0"/>
              <w:adjustRightInd w:val="0"/>
              <w:spacing w:line="360" w:lineRule="auto"/>
              <w:jc w:val="center"/>
              <w:rPr>
                <w:rFonts w:hint="eastAsia" w:ascii="新宋体" w:hAnsi="新宋体" w:eastAsia="新宋体"/>
                <w:sz w:val="24"/>
                <w:szCs w:val="24"/>
              </w:rPr>
            </w:pPr>
            <w:r>
              <w:rPr>
                <w:rFonts w:hint="eastAsia" w:ascii="新宋体" w:hAnsi="新宋体" w:eastAsia="新宋体"/>
                <w:sz w:val="24"/>
                <w:szCs w:val="24"/>
              </w:rPr>
              <w:t>系统设计</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0" w:type="dxa"/>
            <w:left w:w="108" w:type="dxa"/>
            <w:bottom w:w="0" w:type="dxa"/>
            <w:right w:w="108" w:type="dxa"/>
          </w:tblCellMar>
        </w:tblPrEx>
        <w:trPr>
          <w:trHeight w:val="1" w:hRule="atLeast"/>
          <w:jc w:val="center"/>
        </w:trPr>
        <w:tc>
          <w:tcPr>
            <w:tcW w:w="3686" w:type="dxa"/>
            <w:tcBorders>
              <w:top w:val="single" w:color="000000" w:sz="2" w:space="0"/>
              <w:left w:val="double" w:color="auto" w:sz="4" w:space="0"/>
              <w:bottom w:val="single" w:color="000000" w:sz="2" w:space="0"/>
              <w:right w:val="single" w:color="000000" w:sz="2" w:space="0"/>
            </w:tcBorders>
            <w:shd w:val="clear" w:color="auto" w:fill="FFFFFF"/>
            <w:noWrap w:val="0"/>
            <w:vAlign w:val="center"/>
          </w:tcPr>
          <w:p>
            <w:pPr>
              <w:autoSpaceDE w:val="0"/>
              <w:autoSpaceDN w:val="0"/>
              <w:adjustRightInd w:val="0"/>
              <w:spacing w:line="360" w:lineRule="auto"/>
              <w:jc w:val="center"/>
              <w:rPr>
                <w:rFonts w:hint="eastAsia" w:ascii="新宋体" w:hAnsi="新宋体" w:eastAsia="新宋体"/>
                <w:sz w:val="24"/>
                <w:szCs w:val="24"/>
              </w:rPr>
            </w:pPr>
            <w:r>
              <w:rPr>
                <w:rFonts w:hint="eastAsia" w:ascii="新宋体" w:hAnsi="新宋体" w:eastAsia="新宋体"/>
                <w:sz w:val="24"/>
                <w:szCs w:val="24"/>
              </w:rPr>
              <w:t>系统部署方案</w:t>
            </w:r>
          </w:p>
        </w:tc>
        <w:tc>
          <w:tcPr>
            <w:tcW w:w="267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360" w:lineRule="auto"/>
              <w:jc w:val="center"/>
              <w:rPr>
                <w:rFonts w:hint="eastAsia" w:ascii="新宋体" w:hAnsi="新宋体" w:eastAsia="新宋体"/>
                <w:sz w:val="24"/>
                <w:szCs w:val="24"/>
              </w:rPr>
            </w:pPr>
            <w:r>
              <w:rPr>
                <w:rFonts w:hint="eastAsia" w:ascii="新宋体" w:hAnsi="新宋体" w:eastAsia="新宋体"/>
                <w:sz w:val="24"/>
                <w:szCs w:val="24"/>
              </w:rPr>
              <w:t>电子及纸质</w:t>
            </w:r>
          </w:p>
        </w:tc>
        <w:tc>
          <w:tcPr>
            <w:tcW w:w="2534" w:type="dxa"/>
            <w:tcBorders>
              <w:top w:val="single" w:color="000000" w:sz="2" w:space="0"/>
              <w:left w:val="single" w:color="000000" w:sz="2" w:space="0"/>
              <w:bottom w:val="single" w:color="000000" w:sz="2" w:space="0"/>
              <w:right w:val="double" w:color="auto" w:sz="4" w:space="0"/>
            </w:tcBorders>
            <w:shd w:val="clear" w:color="auto" w:fill="FFFFFF"/>
            <w:noWrap w:val="0"/>
            <w:vAlign w:val="center"/>
          </w:tcPr>
          <w:p>
            <w:pPr>
              <w:autoSpaceDE w:val="0"/>
              <w:autoSpaceDN w:val="0"/>
              <w:adjustRightInd w:val="0"/>
              <w:spacing w:line="360" w:lineRule="auto"/>
              <w:jc w:val="center"/>
              <w:rPr>
                <w:rFonts w:hint="eastAsia" w:ascii="新宋体" w:hAnsi="新宋体" w:eastAsia="新宋体"/>
                <w:sz w:val="24"/>
                <w:szCs w:val="24"/>
              </w:rPr>
            </w:pPr>
            <w:r>
              <w:rPr>
                <w:rFonts w:hint="eastAsia" w:ascii="新宋体" w:hAnsi="新宋体" w:eastAsia="新宋体"/>
                <w:sz w:val="24"/>
                <w:szCs w:val="24"/>
              </w:rPr>
              <w:t>系统设计</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0" w:type="dxa"/>
            <w:left w:w="108" w:type="dxa"/>
            <w:bottom w:w="0" w:type="dxa"/>
            <w:right w:w="108" w:type="dxa"/>
          </w:tblCellMar>
        </w:tblPrEx>
        <w:trPr>
          <w:trHeight w:val="1" w:hRule="atLeast"/>
          <w:jc w:val="center"/>
        </w:trPr>
        <w:tc>
          <w:tcPr>
            <w:tcW w:w="3686" w:type="dxa"/>
            <w:tcBorders>
              <w:top w:val="single" w:color="000000" w:sz="2" w:space="0"/>
              <w:left w:val="double" w:color="auto" w:sz="4" w:space="0"/>
              <w:bottom w:val="single" w:color="000000" w:sz="2" w:space="0"/>
              <w:right w:val="single" w:color="000000" w:sz="2" w:space="0"/>
            </w:tcBorders>
            <w:shd w:val="clear" w:color="auto" w:fill="FFFFFF"/>
            <w:noWrap w:val="0"/>
            <w:vAlign w:val="center"/>
          </w:tcPr>
          <w:p>
            <w:pPr>
              <w:autoSpaceDE w:val="0"/>
              <w:autoSpaceDN w:val="0"/>
              <w:adjustRightInd w:val="0"/>
              <w:spacing w:line="360" w:lineRule="auto"/>
              <w:jc w:val="center"/>
              <w:rPr>
                <w:rFonts w:hint="eastAsia" w:ascii="新宋体" w:hAnsi="新宋体" w:eastAsia="新宋体"/>
                <w:sz w:val="24"/>
                <w:szCs w:val="24"/>
              </w:rPr>
            </w:pPr>
            <w:r>
              <w:rPr>
                <w:rFonts w:hint="eastAsia" w:ascii="新宋体" w:hAnsi="新宋体" w:eastAsia="新宋体"/>
                <w:sz w:val="24"/>
                <w:szCs w:val="24"/>
              </w:rPr>
              <w:t>测试用例报告</w:t>
            </w:r>
          </w:p>
        </w:tc>
        <w:tc>
          <w:tcPr>
            <w:tcW w:w="267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360" w:lineRule="auto"/>
              <w:jc w:val="center"/>
              <w:rPr>
                <w:rFonts w:hint="eastAsia" w:ascii="新宋体" w:hAnsi="新宋体" w:eastAsia="新宋体"/>
                <w:sz w:val="24"/>
                <w:szCs w:val="24"/>
              </w:rPr>
            </w:pPr>
            <w:r>
              <w:rPr>
                <w:rFonts w:hint="eastAsia" w:ascii="新宋体" w:hAnsi="新宋体" w:eastAsia="新宋体"/>
                <w:sz w:val="24"/>
                <w:szCs w:val="24"/>
              </w:rPr>
              <w:t>电子及纸质</w:t>
            </w:r>
          </w:p>
        </w:tc>
        <w:tc>
          <w:tcPr>
            <w:tcW w:w="2534" w:type="dxa"/>
            <w:tcBorders>
              <w:top w:val="single" w:color="000000" w:sz="2" w:space="0"/>
              <w:left w:val="single" w:color="000000" w:sz="2" w:space="0"/>
              <w:bottom w:val="single" w:color="000000" w:sz="2" w:space="0"/>
              <w:right w:val="double" w:color="auto" w:sz="4" w:space="0"/>
            </w:tcBorders>
            <w:shd w:val="clear" w:color="auto" w:fill="FFFFFF"/>
            <w:noWrap w:val="0"/>
            <w:vAlign w:val="center"/>
          </w:tcPr>
          <w:p>
            <w:pPr>
              <w:autoSpaceDE w:val="0"/>
              <w:autoSpaceDN w:val="0"/>
              <w:adjustRightInd w:val="0"/>
              <w:spacing w:line="360" w:lineRule="auto"/>
              <w:jc w:val="center"/>
              <w:rPr>
                <w:rFonts w:hint="eastAsia" w:ascii="新宋体" w:hAnsi="新宋体" w:eastAsia="新宋体"/>
                <w:sz w:val="24"/>
                <w:szCs w:val="24"/>
              </w:rPr>
            </w:pPr>
            <w:r>
              <w:rPr>
                <w:rFonts w:hint="eastAsia" w:ascii="新宋体" w:hAnsi="新宋体" w:eastAsia="新宋体"/>
                <w:sz w:val="24"/>
                <w:szCs w:val="24"/>
              </w:rPr>
              <w:t>开发阶段</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0" w:type="dxa"/>
            <w:left w:w="108" w:type="dxa"/>
            <w:bottom w:w="0" w:type="dxa"/>
            <w:right w:w="108" w:type="dxa"/>
          </w:tblCellMar>
        </w:tblPrEx>
        <w:trPr>
          <w:trHeight w:val="1" w:hRule="atLeast"/>
          <w:jc w:val="center"/>
        </w:trPr>
        <w:tc>
          <w:tcPr>
            <w:tcW w:w="3686" w:type="dxa"/>
            <w:tcBorders>
              <w:top w:val="single" w:color="000000" w:sz="2" w:space="0"/>
              <w:left w:val="double" w:color="auto" w:sz="4" w:space="0"/>
              <w:bottom w:val="single" w:color="000000" w:sz="2" w:space="0"/>
              <w:right w:val="single" w:color="000000" w:sz="2" w:space="0"/>
            </w:tcBorders>
            <w:shd w:val="clear" w:color="auto" w:fill="FFFFFF"/>
            <w:noWrap w:val="0"/>
            <w:vAlign w:val="center"/>
          </w:tcPr>
          <w:p>
            <w:pPr>
              <w:autoSpaceDE w:val="0"/>
              <w:autoSpaceDN w:val="0"/>
              <w:adjustRightInd w:val="0"/>
              <w:spacing w:line="360" w:lineRule="auto"/>
              <w:jc w:val="center"/>
              <w:rPr>
                <w:rFonts w:hint="eastAsia" w:ascii="新宋体" w:hAnsi="新宋体" w:eastAsia="新宋体"/>
                <w:sz w:val="24"/>
                <w:szCs w:val="24"/>
              </w:rPr>
            </w:pPr>
            <w:r>
              <w:rPr>
                <w:rFonts w:hint="eastAsia" w:ascii="新宋体" w:hAnsi="新宋体" w:eastAsia="新宋体"/>
                <w:sz w:val="24"/>
                <w:szCs w:val="24"/>
              </w:rPr>
              <w:t>用户测试报告</w:t>
            </w:r>
          </w:p>
        </w:tc>
        <w:tc>
          <w:tcPr>
            <w:tcW w:w="267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360" w:lineRule="auto"/>
              <w:jc w:val="center"/>
              <w:rPr>
                <w:rFonts w:hint="eastAsia" w:ascii="新宋体" w:hAnsi="新宋体" w:eastAsia="新宋体"/>
                <w:sz w:val="24"/>
                <w:szCs w:val="24"/>
              </w:rPr>
            </w:pPr>
            <w:r>
              <w:rPr>
                <w:rFonts w:hint="eastAsia" w:ascii="新宋体" w:hAnsi="新宋体" w:eastAsia="新宋体"/>
                <w:sz w:val="24"/>
                <w:szCs w:val="24"/>
              </w:rPr>
              <w:t>电子及纸质</w:t>
            </w:r>
          </w:p>
        </w:tc>
        <w:tc>
          <w:tcPr>
            <w:tcW w:w="2534" w:type="dxa"/>
            <w:tcBorders>
              <w:top w:val="single" w:color="000000" w:sz="2" w:space="0"/>
              <w:left w:val="single" w:color="000000" w:sz="2" w:space="0"/>
              <w:bottom w:val="single" w:color="000000" w:sz="2" w:space="0"/>
              <w:right w:val="double" w:color="auto" w:sz="4" w:space="0"/>
            </w:tcBorders>
            <w:shd w:val="clear" w:color="auto" w:fill="FFFFFF"/>
            <w:noWrap w:val="0"/>
            <w:vAlign w:val="center"/>
          </w:tcPr>
          <w:p>
            <w:pPr>
              <w:autoSpaceDE w:val="0"/>
              <w:autoSpaceDN w:val="0"/>
              <w:adjustRightInd w:val="0"/>
              <w:spacing w:line="360" w:lineRule="auto"/>
              <w:jc w:val="center"/>
              <w:rPr>
                <w:rFonts w:hint="eastAsia" w:ascii="新宋体" w:hAnsi="新宋体" w:eastAsia="新宋体"/>
                <w:sz w:val="24"/>
                <w:szCs w:val="24"/>
              </w:rPr>
            </w:pPr>
            <w:r>
              <w:rPr>
                <w:rFonts w:hint="eastAsia" w:ascii="新宋体" w:hAnsi="新宋体" w:eastAsia="新宋体"/>
                <w:sz w:val="24"/>
                <w:szCs w:val="24"/>
              </w:rPr>
              <w:t>开发阶段</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0" w:type="dxa"/>
            <w:left w:w="108" w:type="dxa"/>
            <w:bottom w:w="0" w:type="dxa"/>
            <w:right w:w="108" w:type="dxa"/>
          </w:tblCellMar>
        </w:tblPrEx>
        <w:trPr>
          <w:trHeight w:val="1" w:hRule="atLeast"/>
          <w:jc w:val="center"/>
        </w:trPr>
        <w:tc>
          <w:tcPr>
            <w:tcW w:w="3686" w:type="dxa"/>
            <w:tcBorders>
              <w:top w:val="single" w:color="000000" w:sz="2" w:space="0"/>
              <w:left w:val="double" w:color="auto" w:sz="4" w:space="0"/>
              <w:bottom w:val="single" w:color="000000" w:sz="2" w:space="0"/>
              <w:right w:val="single" w:color="000000" w:sz="2" w:space="0"/>
            </w:tcBorders>
            <w:shd w:val="clear" w:color="auto" w:fill="FFFFFF"/>
            <w:noWrap w:val="0"/>
            <w:vAlign w:val="center"/>
          </w:tcPr>
          <w:p>
            <w:pPr>
              <w:autoSpaceDE w:val="0"/>
              <w:autoSpaceDN w:val="0"/>
              <w:adjustRightInd w:val="0"/>
              <w:spacing w:line="360" w:lineRule="auto"/>
              <w:jc w:val="center"/>
              <w:rPr>
                <w:rFonts w:hint="eastAsia" w:ascii="新宋体" w:hAnsi="新宋体" w:eastAsia="新宋体"/>
                <w:sz w:val="24"/>
                <w:szCs w:val="24"/>
              </w:rPr>
            </w:pPr>
            <w:r>
              <w:rPr>
                <w:rFonts w:hint="eastAsia" w:ascii="新宋体" w:hAnsi="新宋体" w:eastAsia="新宋体"/>
                <w:sz w:val="24"/>
                <w:szCs w:val="24"/>
              </w:rPr>
              <w:t>系统安装和维护手册</w:t>
            </w:r>
          </w:p>
        </w:tc>
        <w:tc>
          <w:tcPr>
            <w:tcW w:w="267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360" w:lineRule="auto"/>
              <w:jc w:val="center"/>
              <w:rPr>
                <w:rFonts w:hint="eastAsia" w:ascii="新宋体" w:hAnsi="新宋体" w:eastAsia="新宋体"/>
                <w:sz w:val="24"/>
                <w:szCs w:val="24"/>
              </w:rPr>
            </w:pPr>
            <w:r>
              <w:rPr>
                <w:rFonts w:hint="eastAsia" w:ascii="新宋体" w:hAnsi="新宋体" w:eastAsia="新宋体"/>
                <w:sz w:val="24"/>
                <w:szCs w:val="24"/>
              </w:rPr>
              <w:t>电子及纸质</w:t>
            </w:r>
          </w:p>
        </w:tc>
        <w:tc>
          <w:tcPr>
            <w:tcW w:w="2534" w:type="dxa"/>
            <w:tcBorders>
              <w:top w:val="single" w:color="000000" w:sz="2" w:space="0"/>
              <w:left w:val="single" w:color="000000" w:sz="2" w:space="0"/>
              <w:bottom w:val="single" w:color="000000" w:sz="2" w:space="0"/>
              <w:right w:val="double" w:color="auto" w:sz="4" w:space="0"/>
            </w:tcBorders>
            <w:shd w:val="clear" w:color="auto" w:fill="FFFFFF"/>
            <w:noWrap w:val="0"/>
            <w:vAlign w:val="center"/>
          </w:tcPr>
          <w:p>
            <w:pPr>
              <w:autoSpaceDE w:val="0"/>
              <w:autoSpaceDN w:val="0"/>
              <w:adjustRightInd w:val="0"/>
              <w:spacing w:line="360" w:lineRule="auto"/>
              <w:jc w:val="center"/>
              <w:rPr>
                <w:rFonts w:hint="eastAsia" w:ascii="新宋体" w:hAnsi="新宋体" w:eastAsia="新宋体"/>
                <w:sz w:val="24"/>
                <w:szCs w:val="24"/>
              </w:rPr>
            </w:pPr>
            <w:r>
              <w:rPr>
                <w:rFonts w:hint="eastAsia" w:ascii="新宋体" w:hAnsi="新宋体" w:eastAsia="新宋体"/>
                <w:sz w:val="24"/>
                <w:szCs w:val="24"/>
              </w:rPr>
              <w:t>试点运行</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0" w:type="dxa"/>
            <w:left w:w="108" w:type="dxa"/>
            <w:bottom w:w="0" w:type="dxa"/>
            <w:right w:w="108" w:type="dxa"/>
          </w:tblCellMar>
        </w:tblPrEx>
        <w:trPr>
          <w:trHeight w:val="1" w:hRule="atLeast"/>
          <w:jc w:val="center"/>
        </w:trPr>
        <w:tc>
          <w:tcPr>
            <w:tcW w:w="3686" w:type="dxa"/>
            <w:tcBorders>
              <w:top w:val="single" w:color="000000" w:sz="2" w:space="0"/>
              <w:left w:val="double" w:color="auto" w:sz="4" w:space="0"/>
              <w:bottom w:val="single" w:color="000000" w:sz="2" w:space="0"/>
              <w:right w:val="single" w:color="000000" w:sz="2" w:space="0"/>
            </w:tcBorders>
            <w:shd w:val="clear" w:color="auto" w:fill="FFFFFF"/>
            <w:noWrap w:val="0"/>
            <w:vAlign w:val="center"/>
          </w:tcPr>
          <w:p>
            <w:pPr>
              <w:autoSpaceDE w:val="0"/>
              <w:autoSpaceDN w:val="0"/>
              <w:adjustRightInd w:val="0"/>
              <w:spacing w:line="360" w:lineRule="auto"/>
              <w:jc w:val="center"/>
              <w:rPr>
                <w:rFonts w:hint="eastAsia" w:ascii="新宋体" w:hAnsi="新宋体" w:eastAsia="新宋体"/>
                <w:sz w:val="24"/>
                <w:szCs w:val="24"/>
              </w:rPr>
            </w:pPr>
            <w:r>
              <w:rPr>
                <w:rFonts w:hint="eastAsia" w:ascii="新宋体" w:hAnsi="新宋体" w:eastAsia="新宋体"/>
                <w:sz w:val="24"/>
                <w:szCs w:val="24"/>
              </w:rPr>
              <w:t>用户操作手册</w:t>
            </w:r>
          </w:p>
        </w:tc>
        <w:tc>
          <w:tcPr>
            <w:tcW w:w="2679"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pPr>
              <w:autoSpaceDE w:val="0"/>
              <w:autoSpaceDN w:val="0"/>
              <w:adjustRightInd w:val="0"/>
              <w:spacing w:line="360" w:lineRule="auto"/>
              <w:jc w:val="center"/>
              <w:rPr>
                <w:rFonts w:hint="eastAsia" w:ascii="新宋体" w:hAnsi="新宋体" w:eastAsia="新宋体"/>
                <w:sz w:val="24"/>
                <w:szCs w:val="24"/>
              </w:rPr>
            </w:pPr>
            <w:r>
              <w:rPr>
                <w:rFonts w:hint="eastAsia" w:ascii="新宋体" w:hAnsi="新宋体" w:eastAsia="新宋体"/>
                <w:sz w:val="24"/>
                <w:szCs w:val="24"/>
              </w:rPr>
              <w:t>电子及纸质</w:t>
            </w:r>
          </w:p>
        </w:tc>
        <w:tc>
          <w:tcPr>
            <w:tcW w:w="2534" w:type="dxa"/>
            <w:tcBorders>
              <w:top w:val="single" w:color="000000" w:sz="2" w:space="0"/>
              <w:left w:val="single" w:color="000000" w:sz="2" w:space="0"/>
              <w:bottom w:val="single" w:color="000000" w:sz="2" w:space="0"/>
              <w:right w:val="double" w:color="auto" w:sz="4" w:space="0"/>
            </w:tcBorders>
            <w:shd w:val="clear" w:color="auto" w:fill="FFFFFF"/>
            <w:noWrap w:val="0"/>
            <w:vAlign w:val="center"/>
          </w:tcPr>
          <w:p>
            <w:pPr>
              <w:autoSpaceDE w:val="0"/>
              <w:autoSpaceDN w:val="0"/>
              <w:adjustRightInd w:val="0"/>
              <w:spacing w:line="360" w:lineRule="auto"/>
              <w:jc w:val="center"/>
              <w:rPr>
                <w:rFonts w:hint="eastAsia" w:ascii="新宋体" w:hAnsi="新宋体" w:eastAsia="新宋体"/>
                <w:sz w:val="24"/>
                <w:szCs w:val="24"/>
              </w:rPr>
            </w:pPr>
            <w:r>
              <w:rPr>
                <w:rFonts w:hint="eastAsia" w:ascii="新宋体" w:hAnsi="新宋体" w:eastAsia="新宋体"/>
                <w:sz w:val="24"/>
                <w:szCs w:val="24"/>
              </w:rPr>
              <w:t>试点运行</w:t>
            </w:r>
          </w:p>
        </w:tc>
      </w:tr>
      <w:tr>
        <w:tblPrEx>
          <w:tblBorders>
            <w:top w:val="double" w:color="auto" w:sz="4" w:space="0"/>
            <w:left w:val="double" w:color="auto" w:sz="4" w:space="0"/>
            <w:bottom w:val="double" w:color="auto" w:sz="4" w:space="0"/>
            <w:right w:val="double" w:color="auto" w:sz="4" w:space="0"/>
            <w:insideH w:val="single" w:color="000000" w:sz="2" w:space="0"/>
            <w:insideV w:val="single" w:color="000000" w:sz="2" w:space="0"/>
          </w:tblBorders>
          <w:tblCellMar>
            <w:top w:w="0" w:type="dxa"/>
            <w:left w:w="108" w:type="dxa"/>
            <w:bottom w:w="0" w:type="dxa"/>
            <w:right w:w="108" w:type="dxa"/>
          </w:tblCellMar>
        </w:tblPrEx>
        <w:trPr>
          <w:trHeight w:val="1" w:hRule="atLeast"/>
          <w:jc w:val="center"/>
        </w:trPr>
        <w:tc>
          <w:tcPr>
            <w:tcW w:w="3686" w:type="dxa"/>
            <w:tcBorders>
              <w:top w:val="single" w:color="000000" w:sz="2" w:space="0"/>
              <w:left w:val="double" w:color="auto" w:sz="4" w:space="0"/>
              <w:bottom w:val="double" w:color="auto" w:sz="4" w:space="0"/>
              <w:right w:val="single" w:color="000000" w:sz="2" w:space="0"/>
            </w:tcBorders>
            <w:shd w:val="clear" w:color="auto" w:fill="FFFFFF"/>
            <w:noWrap w:val="0"/>
            <w:vAlign w:val="center"/>
          </w:tcPr>
          <w:p>
            <w:pPr>
              <w:autoSpaceDE w:val="0"/>
              <w:autoSpaceDN w:val="0"/>
              <w:adjustRightInd w:val="0"/>
              <w:spacing w:line="360" w:lineRule="auto"/>
              <w:jc w:val="center"/>
              <w:rPr>
                <w:rFonts w:hint="eastAsia" w:ascii="新宋体" w:hAnsi="新宋体" w:eastAsia="新宋体"/>
                <w:sz w:val="24"/>
                <w:szCs w:val="24"/>
              </w:rPr>
            </w:pPr>
            <w:r>
              <w:rPr>
                <w:rFonts w:hint="eastAsia" w:ascii="新宋体" w:hAnsi="新宋体" w:eastAsia="新宋体"/>
                <w:sz w:val="24"/>
                <w:szCs w:val="24"/>
              </w:rPr>
              <w:t>项目培训文档</w:t>
            </w:r>
          </w:p>
        </w:tc>
        <w:tc>
          <w:tcPr>
            <w:tcW w:w="2679" w:type="dxa"/>
            <w:tcBorders>
              <w:top w:val="single" w:color="000000" w:sz="2" w:space="0"/>
              <w:left w:val="single" w:color="000000" w:sz="2" w:space="0"/>
              <w:bottom w:val="double" w:color="auto" w:sz="4" w:space="0"/>
              <w:right w:val="single" w:color="000000" w:sz="2" w:space="0"/>
            </w:tcBorders>
            <w:shd w:val="clear" w:color="auto" w:fill="FFFFFF"/>
            <w:noWrap w:val="0"/>
            <w:vAlign w:val="center"/>
          </w:tcPr>
          <w:p>
            <w:pPr>
              <w:autoSpaceDE w:val="0"/>
              <w:autoSpaceDN w:val="0"/>
              <w:adjustRightInd w:val="0"/>
              <w:spacing w:line="360" w:lineRule="auto"/>
              <w:jc w:val="center"/>
              <w:rPr>
                <w:rFonts w:hint="eastAsia" w:ascii="新宋体" w:hAnsi="新宋体" w:eastAsia="新宋体"/>
                <w:sz w:val="24"/>
                <w:szCs w:val="24"/>
              </w:rPr>
            </w:pPr>
            <w:r>
              <w:rPr>
                <w:rFonts w:hint="eastAsia" w:ascii="新宋体" w:hAnsi="新宋体" w:eastAsia="新宋体"/>
                <w:sz w:val="24"/>
                <w:szCs w:val="24"/>
              </w:rPr>
              <w:t>电子及纸质</w:t>
            </w:r>
          </w:p>
        </w:tc>
        <w:tc>
          <w:tcPr>
            <w:tcW w:w="2534" w:type="dxa"/>
            <w:tcBorders>
              <w:top w:val="single" w:color="000000" w:sz="2" w:space="0"/>
              <w:left w:val="single" w:color="000000" w:sz="2" w:space="0"/>
              <w:bottom w:val="double" w:color="auto" w:sz="4" w:space="0"/>
              <w:right w:val="double" w:color="auto" w:sz="4" w:space="0"/>
            </w:tcBorders>
            <w:shd w:val="clear" w:color="auto" w:fill="FFFFFF"/>
            <w:noWrap w:val="0"/>
            <w:vAlign w:val="center"/>
          </w:tcPr>
          <w:p>
            <w:pPr>
              <w:autoSpaceDE w:val="0"/>
              <w:autoSpaceDN w:val="0"/>
              <w:adjustRightInd w:val="0"/>
              <w:spacing w:line="360" w:lineRule="auto"/>
              <w:jc w:val="center"/>
              <w:rPr>
                <w:rFonts w:hint="eastAsia" w:ascii="新宋体" w:hAnsi="新宋体" w:eastAsia="新宋体"/>
                <w:sz w:val="24"/>
                <w:szCs w:val="24"/>
              </w:rPr>
            </w:pPr>
            <w:r>
              <w:rPr>
                <w:rFonts w:hint="eastAsia" w:ascii="新宋体" w:hAnsi="新宋体" w:eastAsia="新宋体"/>
                <w:sz w:val="24"/>
                <w:szCs w:val="24"/>
              </w:rPr>
              <w:t>各阶段</w:t>
            </w:r>
          </w:p>
        </w:tc>
      </w:tr>
    </w:tbl>
    <w:p>
      <w:bookmarkStart w:id="9" w:name="_GoBack"/>
      <w:bookmarkEnd w:id="9"/>
    </w:p>
    <w:sectPr>
      <w:headerReference r:id="rId3" w:type="default"/>
      <w:footerReference r:id="rId4" w:type="default"/>
      <w:pgSz w:w="11907" w:h="16840"/>
      <w:pgMar w:top="1474" w:right="1418" w:bottom="1247" w:left="1418" w:header="737" w:footer="567" w:gutter="17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0"/>
      </w:pBdr>
      <w:tabs>
        <w:tab w:val="center" w:pos="4153"/>
        <w:tab w:val="right" w:pos="8306"/>
      </w:tabs>
      <w:snapToGrid w:val="0"/>
      <w:spacing w:line="276" w:lineRule="auto"/>
      <w:rPr>
        <w:kern w:val="0"/>
        <w:sz w:val="18"/>
        <w:szCs w:val="18"/>
      </w:rPr>
    </w:pPr>
  </w:p>
  <w:p>
    <w:pPr>
      <w:tabs>
        <w:tab w:val="left" w:pos="2712"/>
      </w:tabs>
      <w:snapToGrid w:val="0"/>
      <w:spacing w:line="360" w:lineRule="auto"/>
      <w:jc w:val="left"/>
      <w:rPr>
        <w:lang w:val="zh-CN"/>
      </w:rPr>
    </w:pPr>
    <w:r>
      <w:rPr>
        <w:rFonts w:hint="eastAsia" w:ascii="新宋体" w:hAnsi="新宋体" w:eastAsia="新宋体"/>
        <w:kern w:val="0"/>
        <w:sz w:val="18"/>
        <w:szCs w:val="18"/>
        <w:lang w:val="zh-CN" w:eastAsia="zh-CN"/>
      </w:rPr>
      <w:t>深圳市瑞凝信招标咨询有限公司</w:t>
    </w:r>
    <w:r>
      <w:rPr>
        <w:rFonts w:ascii="新宋体" w:hAnsi="新宋体" w:eastAsia="新宋体"/>
        <w:kern w:val="0"/>
        <w:sz w:val="18"/>
        <w:szCs w:val="18"/>
        <w:lang w:val="zh-CN" w:eastAsia="zh-CN"/>
      </w:rPr>
      <w:t xml:space="preserve">                       </w:t>
    </w:r>
    <w:r>
      <w:rPr>
        <w:rFonts w:ascii="新宋体" w:hAnsi="新宋体" w:eastAsia="新宋体"/>
        <w:bCs/>
        <w:kern w:val="0"/>
        <w:sz w:val="18"/>
        <w:szCs w:val="18"/>
        <w:lang w:val="zh-CN" w:eastAsia="zh-CN"/>
      </w:rPr>
      <w:fldChar w:fldCharType="begin"/>
    </w:r>
    <w:r>
      <w:rPr>
        <w:rFonts w:ascii="新宋体" w:hAnsi="新宋体" w:eastAsia="新宋体"/>
        <w:bCs/>
        <w:kern w:val="0"/>
        <w:sz w:val="18"/>
        <w:szCs w:val="18"/>
        <w:lang w:val="zh-CN" w:eastAsia="zh-CN"/>
      </w:rPr>
      <w:instrText xml:space="preserve">PAGE</w:instrText>
    </w:r>
    <w:r>
      <w:rPr>
        <w:rFonts w:ascii="新宋体" w:hAnsi="新宋体" w:eastAsia="新宋体"/>
        <w:bCs/>
        <w:kern w:val="0"/>
        <w:sz w:val="18"/>
        <w:szCs w:val="18"/>
        <w:lang w:val="zh-CN" w:eastAsia="zh-CN"/>
      </w:rPr>
      <w:fldChar w:fldCharType="separate"/>
    </w:r>
    <w:r>
      <w:rPr>
        <w:rFonts w:ascii="新宋体" w:hAnsi="新宋体" w:eastAsia="新宋体"/>
        <w:bCs/>
        <w:kern w:val="0"/>
        <w:sz w:val="18"/>
        <w:szCs w:val="18"/>
        <w:lang w:val="zh-CN" w:eastAsia="zh-CN"/>
      </w:rPr>
      <w:t>6</w:t>
    </w:r>
    <w:r>
      <w:rPr>
        <w:rFonts w:ascii="新宋体" w:hAnsi="新宋体" w:eastAsia="新宋体"/>
        <w:bCs/>
        <w:kern w:val="0"/>
        <w:sz w:val="18"/>
        <w:szCs w:val="18"/>
        <w:lang w:val="zh-CN" w:eastAsia="zh-CN"/>
      </w:rPr>
      <w:fldChar w:fldCharType="end"/>
    </w:r>
    <w:r>
      <w:rPr>
        <w:rFonts w:ascii="新宋体" w:hAnsi="新宋体" w:eastAsia="新宋体"/>
        <w:kern w:val="0"/>
        <w:sz w:val="18"/>
        <w:szCs w:val="18"/>
        <w:lang w:val="zh-CN" w:eastAsia="zh-CN"/>
      </w:rPr>
      <w:t xml:space="preserve"> / </w:t>
    </w:r>
    <w:r>
      <w:rPr>
        <w:rFonts w:ascii="新宋体" w:hAnsi="新宋体" w:eastAsia="新宋体"/>
        <w:bCs/>
        <w:kern w:val="0"/>
        <w:sz w:val="18"/>
        <w:szCs w:val="18"/>
        <w:lang w:val="zh-CN" w:eastAsia="zh-CN"/>
      </w:rPr>
      <w:fldChar w:fldCharType="begin"/>
    </w:r>
    <w:r>
      <w:rPr>
        <w:rFonts w:ascii="新宋体" w:hAnsi="新宋体" w:eastAsia="新宋体"/>
        <w:bCs/>
        <w:kern w:val="0"/>
        <w:sz w:val="18"/>
        <w:szCs w:val="18"/>
        <w:lang w:val="zh-CN" w:eastAsia="zh-CN"/>
      </w:rPr>
      <w:instrText xml:space="preserve">NUMPAGES</w:instrText>
    </w:r>
    <w:r>
      <w:rPr>
        <w:rFonts w:ascii="新宋体" w:hAnsi="新宋体" w:eastAsia="新宋体"/>
        <w:bCs/>
        <w:kern w:val="0"/>
        <w:sz w:val="18"/>
        <w:szCs w:val="18"/>
        <w:lang w:val="zh-CN" w:eastAsia="zh-CN"/>
      </w:rPr>
      <w:fldChar w:fldCharType="separate"/>
    </w:r>
    <w:r>
      <w:rPr>
        <w:rFonts w:ascii="新宋体" w:hAnsi="新宋体" w:eastAsia="新宋体"/>
        <w:bCs/>
        <w:kern w:val="0"/>
        <w:sz w:val="18"/>
        <w:szCs w:val="18"/>
        <w:lang w:val="zh-CN" w:eastAsia="zh-CN"/>
      </w:rPr>
      <w:t>7</w:t>
    </w:r>
    <w:r>
      <w:rPr>
        <w:rFonts w:ascii="新宋体" w:hAnsi="新宋体" w:eastAsia="新宋体"/>
        <w:bCs/>
        <w:kern w:val="0"/>
        <w:sz w:val="18"/>
        <w:szCs w:val="18"/>
        <w:lang w:val="zh-CN" w:eastAsia="zh-CN"/>
      </w:rPr>
      <w:fldChar w:fldCharType="end"/>
    </w:r>
    <w:r>
      <w:rPr>
        <w:rFonts w:ascii="新宋体" w:hAnsi="新宋体" w:eastAsia="新宋体"/>
        <w:bCs/>
        <w:kern w:val="0"/>
        <w:sz w:val="18"/>
        <w:szCs w:val="18"/>
        <w:lang w:val="zh-CN" w:eastAsia="zh-CN"/>
      </w:rPr>
      <w:t xml:space="preserve">                                </w:t>
    </w:r>
    <w:r>
      <w:rPr>
        <w:rFonts w:hint="eastAsia" w:ascii="新宋体" w:hAnsi="新宋体" w:eastAsia="新宋体"/>
        <w:bCs/>
        <w:kern w:val="0"/>
        <w:sz w:val="18"/>
        <w:szCs w:val="18"/>
        <w:lang w:val="zh-CN" w:eastAsia="zh-CN"/>
      </w:rPr>
      <w:t>招标</w:t>
    </w:r>
    <w:r>
      <w:rPr>
        <w:rFonts w:ascii="新宋体" w:hAnsi="新宋体" w:eastAsia="新宋体"/>
        <w:bCs/>
        <w:kern w:val="0"/>
        <w:sz w:val="18"/>
        <w:szCs w:val="18"/>
        <w:lang w:val="zh-CN" w:eastAsia="zh-CN"/>
      </w:rPr>
      <w:t>文件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3060"/>
        <w:tab w:val="clear" w:pos="4153"/>
        <w:tab w:val="clear" w:pos="8306"/>
      </w:tabs>
      <w:spacing w:line="360" w:lineRule="auto"/>
      <w:ind w:firstLine="90" w:firstLineChars="50"/>
      <w:jc w:val="left"/>
      <w:rPr>
        <w:rFonts w:ascii="新宋体" w:hAnsi="新宋体" w:eastAsia="新宋体"/>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B67"/>
    <w:rsid w:val="0000002E"/>
    <w:rsid w:val="00035FDC"/>
    <w:rsid w:val="000E0AD6"/>
    <w:rsid w:val="000E24B2"/>
    <w:rsid w:val="001E13C0"/>
    <w:rsid w:val="00263955"/>
    <w:rsid w:val="00374611"/>
    <w:rsid w:val="00391D2A"/>
    <w:rsid w:val="00584311"/>
    <w:rsid w:val="00634E4A"/>
    <w:rsid w:val="00720994"/>
    <w:rsid w:val="0087030C"/>
    <w:rsid w:val="00914F23"/>
    <w:rsid w:val="00AC2812"/>
    <w:rsid w:val="00AE721F"/>
    <w:rsid w:val="00B25542"/>
    <w:rsid w:val="00B52D07"/>
    <w:rsid w:val="00BD3F95"/>
    <w:rsid w:val="00BE7455"/>
    <w:rsid w:val="00D71CF8"/>
    <w:rsid w:val="00DF745D"/>
    <w:rsid w:val="00E34658"/>
    <w:rsid w:val="00E34D08"/>
    <w:rsid w:val="00F07B67"/>
    <w:rsid w:val="00F5791C"/>
    <w:rsid w:val="00FC0479"/>
    <w:rsid w:val="16F32E6C"/>
    <w:rsid w:val="36316BE1"/>
    <w:rsid w:val="42EA7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keepNext/>
      <w:keepLines/>
      <w:spacing w:before="340" w:after="330" w:line="578" w:lineRule="auto"/>
      <w:outlineLvl w:val="0"/>
    </w:pPr>
    <w:rPr>
      <w:b/>
      <w:bCs/>
      <w:kern w:val="44"/>
      <w:sz w:val="44"/>
      <w:szCs w:val="44"/>
    </w:rPr>
  </w:style>
  <w:style w:type="paragraph" w:styleId="3">
    <w:name w:val="heading 2"/>
    <w:basedOn w:val="1"/>
    <w:next w:val="1"/>
    <w:qFormat/>
    <w:uiPriority w:val="99"/>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99"/>
    <w:pPr>
      <w:keepNext/>
      <w:keepLines/>
      <w:spacing w:before="260" w:after="260" w:line="413" w:lineRule="auto"/>
      <w:outlineLvl w:val="2"/>
    </w:pPr>
    <w:rPr>
      <w:b/>
      <w:sz w:val="32"/>
    </w:rPr>
  </w:style>
  <w:style w:type="paragraph" w:styleId="5">
    <w:name w:val="heading 4"/>
    <w:basedOn w:val="1"/>
    <w:next w:val="1"/>
    <w:qFormat/>
    <w:uiPriority w:val="99"/>
    <w:pPr>
      <w:keepNext/>
      <w:keepLines/>
      <w:spacing w:before="280" w:after="290" w:line="376" w:lineRule="auto"/>
      <w:outlineLvl w:val="3"/>
    </w:pPr>
    <w:rPr>
      <w:rFonts w:ascii="Calibri Light" w:hAnsi="Calibri Light"/>
      <w:b/>
      <w:bCs/>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列出段落 Char"/>
    <w:link w:val="13"/>
    <w:qFormat/>
    <w:locked/>
    <w:uiPriority w:val="34"/>
  </w:style>
  <w:style w:type="paragraph" w:styleId="13">
    <w:name w:val="List Paragraph"/>
    <w:basedOn w:val="1"/>
    <w:link w:val="12"/>
    <w:qFormat/>
    <w:uiPriority w:val="34"/>
    <w:pPr>
      <w:ind w:firstLine="420"/>
    </w:pPr>
  </w:style>
  <w:style w:type="paragraph" w:customStyle="1" w:styleId="14">
    <w:name w:val="正文 首行缩进:  2 字符"/>
    <w:basedOn w:val="1"/>
    <w:link w:val="15"/>
    <w:qFormat/>
    <w:uiPriority w:val="0"/>
    <w:pPr>
      <w:spacing w:line="360" w:lineRule="auto"/>
      <w:ind w:firstLine="480" w:firstLineChars="200"/>
    </w:pPr>
    <w:rPr>
      <w:rFonts w:ascii="Times New Roman" w:hAnsi="Times New Roman" w:eastAsia="宋体" w:cs="Times New Roman"/>
      <w:sz w:val="24"/>
      <w:szCs w:val="20"/>
      <w:lang w:val="zh-CN" w:eastAsia="zh-CN"/>
    </w:rPr>
  </w:style>
  <w:style w:type="character" w:customStyle="1" w:styleId="15">
    <w:name w:val="正文 首行缩进:  2 字符 Char"/>
    <w:link w:val="14"/>
    <w:qFormat/>
    <w:uiPriority w:val="0"/>
    <w:rPr>
      <w:rFonts w:ascii="Times New Roman" w:hAnsi="Times New Roman" w:eastAsia="宋体" w:cs="Times New Roman"/>
      <w:sz w:val="24"/>
      <w:szCs w:val="20"/>
      <w:lang w:val="zh-CN" w:eastAsia="zh-CN"/>
    </w:rPr>
  </w:style>
  <w:style w:type="paragraph" w:styleId="16">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2018-07-14T05:06:00Z</dcterms:created>
  <dc:creator>瑞凝信</dc:creator>
  <cp:lastModifiedBy>Administrator</cp:lastModifiedBy>
  <dcterms:modified xsi:type="dcterms:W3CDTF">2020-09-17T07:57:07Z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