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ascii="Times New Roman" w:hAnsi="Times New Roman"/>
          <w:b/>
          <w:bCs/>
          <w:sz w:val="32"/>
          <w:szCs w:val="32"/>
        </w:rPr>
      </w:pPr>
      <w:r>
        <w:rPr>
          <w:rFonts w:ascii="Times New Roman" w:hAnsi="Times New Roman"/>
          <w:b/>
          <w:bCs/>
          <w:sz w:val="32"/>
          <w:szCs w:val="32"/>
        </w:rPr>
        <w:t>招标项目要求</w:t>
      </w:r>
    </w:p>
    <w:p>
      <w:pPr>
        <w:pStyle w:val="4"/>
        <w:spacing w:line="360" w:lineRule="auto"/>
        <w:outlineLvl w:val="1"/>
        <w:rPr>
          <w:rFonts w:ascii="Times New Roman" w:hAnsi="Times New Roman"/>
          <w:b/>
          <w:bCs/>
          <w:sz w:val="24"/>
          <w:szCs w:val="24"/>
        </w:rPr>
      </w:pPr>
      <w:r>
        <w:rPr>
          <w:rFonts w:hint="eastAsia" w:ascii="Times New Roman" w:hAnsi="Times New Roman"/>
          <w:b/>
          <w:bCs/>
          <w:sz w:val="24"/>
          <w:szCs w:val="24"/>
        </w:rPr>
        <w:t>关键需求指标：</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1.执法音像记录采集业务范围涵盖特别纳税调整、出口退税、纳税评估、专票限额审查、文书送达、非正常户认定、查封扣押、解除查封扣押、拍卖变卖、税务注销、税务稽查等，记录分类及要点参考税总局相关要求设置；</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2. 执法音像记录采集及管理平台采用移动/管理双入口，分为手机APP（安卓）和WEB管理端，税务执法人员通过手机APP进行现场执法音像记录采集，并上传至税局内网服务器；内网可通过WEB端对执法任务及记录进行查询和管理；</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3. 执法音像记录采集及管理平台需与金税三期系统对接，支持执法人员采用金税三期账号登录，支持企业名称模糊查询，支持企业税号、企业地址等信息自动匹配；</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4．平台管理端支持一户一案式查询；</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5. 手机APP应支持录像、录音、拍照等多种执法记录采集方式；</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6. 手机APP音视频采集过程中应支持镜头缩放；</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7. 手机APP采集的执法音像记录采用先进压缩算法进行压缩后，再进行上传；</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8. 平台需考虑采用技术手段保证手机APP采集的音像记录与上传到服务器记录的一致性；</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9．平台应采取技术手段保证采集的执法音像记录上传过程中不会因为网络环境异常而导致任务中断及数据丢失；</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10.平台应支持在WEB端管理手机APP版本自动化升级；</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11.平台应采取高标准网络安全方案，并按照税局现行网络安全架构及管理要求进行设计；</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12.项目工期要求：自收到中标通知书之日起30天内完成开发及测试验证，并通过验收正式上线；</w:t>
      </w:r>
    </w:p>
    <w:p>
      <w:pPr>
        <w:spacing w:line="360" w:lineRule="auto"/>
        <w:ind w:firstLine="585"/>
        <w:rPr>
          <w:rFonts w:hint="eastAsia" w:ascii="新宋体" w:hAnsi="新宋体" w:eastAsia="新宋体" w:cs="新宋体"/>
          <w:bCs/>
          <w:szCs w:val="21"/>
        </w:rPr>
      </w:pPr>
      <w:r>
        <w:rPr>
          <w:rFonts w:hint="eastAsia" w:ascii="新宋体" w:hAnsi="新宋体" w:eastAsia="新宋体" w:cs="新宋体"/>
          <w:bCs/>
          <w:szCs w:val="21"/>
        </w:rPr>
        <w:t>13.项目驻场开发要求：项目经理及核心开发人员需在开发过程中全程驻场，在验收时需提供对应驻场证明；</w:t>
      </w:r>
    </w:p>
    <w:p>
      <w:r>
        <w:rPr>
          <w:rFonts w:hint="eastAsia" w:ascii="新宋体" w:hAnsi="新宋体" w:eastAsia="新宋体" w:cs="新宋体"/>
          <w:bCs/>
          <w:szCs w:val="21"/>
        </w:rPr>
        <w:t>14.项目基于供应商已有成品软件开发，需提供相关相关项目案例及软件著作权证明。</w:t>
      </w:r>
      <w:bookmarkStart w:id="0" w:name="_GoBack"/>
      <w:bookmarkEnd w:id="0"/>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5</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r>
      <w:rPr>
        <w:rFonts w:hint="eastAsia" w:ascii="新宋体" w:hAnsi="新宋体" w:eastAsia="新宋体"/>
      </w:rPr>
      <w:t>项目</w:t>
    </w:r>
    <w:r>
      <w:rPr>
        <w:rFonts w:ascii="新宋体" w:hAnsi="新宋体" w:eastAsia="新宋体"/>
      </w:rPr>
      <w:t>名称：</w:t>
    </w:r>
    <w:r>
      <w:rPr>
        <w:rFonts w:hint="eastAsia" w:ascii="新宋体" w:hAnsi="新宋体" w:eastAsia="新宋体"/>
      </w:rPr>
      <w:t>2020年出口退税审核系统运维</w:t>
    </w:r>
    <w:r>
      <w:rPr>
        <w:rFonts w:ascii="新宋体" w:hAnsi="新宋体" w:eastAsia="新宋体"/>
      </w:rPr>
      <w:t xml:space="preserve">                                     </w:t>
    </w:r>
    <w:r>
      <w:rPr>
        <w:rFonts w:hint="eastAsia" w:ascii="新宋体" w:hAnsi="新宋体" w:eastAsia="新宋体"/>
      </w:rPr>
      <w:t>编号：</w:t>
    </w:r>
    <w:r>
      <w:rPr>
        <w:rFonts w:ascii="新宋体" w:hAnsi="新宋体" w:eastAsia="新宋体"/>
      </w:rPr>
      <w:t>RNX2020020ZC-SZTAX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4234"/>
    <w:multiLevelType w:val="multilevel"/>
    <w:tmpl w:val="56714234"/>
    <w:lvl w:ilvl="0" w:tentative="0">
      <w:start w:val="1"/>
      <w:numFmt w:val="chineseCountingThousand"/>
      <w:pStyle w:val="19"/>
      <w:lvlText w:val="%1、"/>
      <w:lvlJc w:val="left"/>
      <w:pPr>
        <w:ind w:left="0" w:firstLine="601"/>
      </w:pPr>
      <w:rPr>
        <w:rFonts w:hint="eastAsia" w:ascii="黑体" w:hAnsi="黑体" w:eastAsia="黑体"/>
        <w:sz w:val="24"/>
        <w:szCs w:val="24"/>
      </w:rPr>
    </w:lvl>
    <w:lvl w:ilvl="1" w:tentative="0">
      <w:start w:val="1"/>
      <w:numFmt w:val="chineseCountingThousand"/>
      <w:suff w:val="nothing"/>
      <w:lvlText w:val="（%2）"/>
      <w:lvlJc w:val="left"/>
      <w:pPr>
        <w:ind w:left="108" w:firstLine="601"/>
      </w:pPr>
      <w:rPr>
        <w:rFonts w:hint="eastAsia"/>
      </w:rPr>
    </w:lvl>
    <w:lvl w:ilvl="2" w:tentative="0">
      <w:start w:val="1"/>
      <w:numFmt w:val="decimal"/>
      <w:suff w:val="nothing"/>
      <w:lvlText w:val="%3."/>
      <w:lvlJc w:val="left"/>
      <w:pPr>
        <w:ind w:left="109" w:firstLine="601"/>
      </w:pPr>
      <w:rPr>
        <w:rFonts w:hint="eastAsia" w:eastAsia="仿宋_GB2312"/>
        <w:b w:val="0"/>
        <w:sz w:val="32"/>
      </w:rPr>
    </w:lvl>
    <w:lvl w:ilvl="3" w:tentative="0">
      <w:start w:val="1"/>
      <w:numFmt w:val="decimal"/>
      <w:suff w:val="nothing"/>
      <w:lvlText w:val="（%4）"/>
      <w:lvlJc w:val="left"/>
      <w:pPr>
        <w:ind w:left="1100" w:firstLine="601"/>
      </w:pPr>
      <w:rPr>
        <w:rFonts w:hint="eastAsia" w:eastAsia="仿宋_GB2312"/>
        <w:sz w:val="32"/>
        <w:lang w:val="en-US"/>
      </w:rPr>
    </w:lvl>
    <w:lvl w:ilvl="4" w:tentative="0">
      <w:start w:val="1"/>
      <w:numFmt w:val="lowerLetter"/>
      <w:lvlText w:val="%5)"/>
      <w:lvlJc w:val="left"/>
      <w:pPr>
        <w:tabs>
          <w:tab w:val="left" w:pos="1701"/>
        </w:tabs>
        <w:ind w:left="0" w:firstLine="601"/>
      </w:pPr>
      <w:rPr>
        <w:rFonts w:hint="eastAsia"/>
      </w:rPr>
    </w:lvl>
    <w:lvl w:ilvl="5" w:tentative="0">
      <w:start w:val="1"/>
      <w:numFmt w:val="lowerRoman"/>
      <w:lvlText w:val="%6."/>
      <w:lvlJc w:val="right"/>
      <w:pPr>
        <w:tabs>
          <w:tab w:val="left" w:pos="1701"/>
        </w:tabs>
        <w:ind w:left="0" w:firstLine="601"/>
      </w:pPr>
      <w:rPr>
        <w:rFonts w:hint="eastAsia"/>
      </w:rPr>
    </w:lvl>
    <w:lvl w:ilvl="6" w:tentative="0">
      <w:start w:val="1"/>
      <w:numFmt w:val="decimal"/>
      <w:lvlText w:val="%7."/>
      <w:lvlJc w:val="left"/>
      <w:pPr>
        <w:tabs>
          <w:tab w:val="left" w:pos="1701"/>
        </w:tabs>
        <w:ind w:left="0" w:firstLine="601"/>
      </w:pPr>
      <w:rPr>
        <w:rFonts w:hint="eastAsia"/>
      </w:rPr>
    </w:lvl>
    <w:lvl w:ilvl="7" w:tentative="0">
      <w:start w:val="1"/>
      <w:numFmt w:val="lowerLetter"/>
      <w:lvlText w:val="%8)"/>
      <w:lvlJc w:val="left"/>
      <w:pPr>
        <w:tabs>
          <w:tab w:val="left" w:pos="1701"/>
        </w:tabs>
        <w:ind w:left="0" w:firstLine="601"/>
      </w:pPr>
      <w:rPr>
        <w:rFonts w:hint="eastAsia"/>
      </w:rPr>
    </w:lvl>
    <w:lvl w:ilvl="8" w:tentative="0">
      <w:start w:val="1"/>
      <w:numFmt w:val="lowerRoman"/>
      <w:lvlText w:val="%9."/>
      <w:lvlJc w:val="right"/>
      <w:pPr>
        <w:tabs>
          <w:tab w:val="left" w:pos="1701"/>
        </w:tabs>
        <w:ind w:left="0" w:firstLine="60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6194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3" w:lineRule="auto"/>
      <w:outlineLvl w:val="1"/>
    </w:pPr>
    <w:rPr>
      <w:rFonts w:ascii="Arial" w:hAnsi="Arial" w:eastAsia="黑体"/>
      <w:b/>
      <w:sz w:val="32"/>
    </w:rPr>
  </w:style>
  <w:style w:type="paragraph" w:styleId="3">
    <w:name w:val="heading 4"/>
    <w:basedOn w:val="1"/>
    <w:next w:val="1"/>
    <w:link w:val="17"/>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24"/>
    <w:qFormat/>
    <w:uiPriority w:val="0"/>
    <w:rPr>
      <w:rFonts w:ascii="宋体" w:hAnsi="Courier New"/>
      <w:szCs w:val="20"/>
      <w:lang w:val="zh-CN" w:eastAsia="zh-CN"/>
    </w:rPr>
  </w:style>
  <w:style w:type="paragraph" w:styleId="5">
    <w:name w:val="Balloon Text"/>
    <w:basedOn w:val="1"/>
    <w:link w:val="25"/>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列表段落 字符"/>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qFormat/>
    <w:uiPriority w:val="0"/>
    <w:pPr>
      <w:spacing w:line="360" w:lineRule="auto"/>
      <w:ind w:firstLine="480" w:firstLineChars="200"/>
    </w:pPr>
    <w:rPr>
      <w:rFonts w:ascii="Times New Roman" w:hAnsi="Times New Roman"/>
      <w:sz w:val="24"/>
      <w:szCs w:val="20"/>
      <w:lang w:val="zh-CN" w:eastAsia="zh-CN"/>
    </w:rPr>
  </w:style>
  <w:style w:type="character" w:customStyle="1" w:styleId="15">
    <w:name w:val="正文 首行缩进:  2 字符 Char"/>
    <w:link w:val="14"/>
    <w:qFormat/>
    <w:uiPriority w:val="0"/>
    <w:rPr>
      <w:rFonts w:ascii="Times New Roman" w:hAnsi="Times New Roman" w:eastAsia="宋体" w:cs="Times New Roman"/>
      <w:sz w:val="24"/>
      <w:szCs w:val="20"/>
      <w:lang w:val="zh-CN" w:eastAsia="zh-CN"/>
    </w:rPr>
  </w:style>
  <w:style w:type="character" w:customStyle="1" w:styleId="16">
    <w:name w:val="标题 2 字符"/>
    <w:basedOn w:val="9"/>
    <w:link w:val="2"/>
    <w:uiPriority w:val="99"/>
    <w:rPr>
      <w:rFonts w:ascii="Arial" w:hAnsi="Arial" w:eastAsia="黑体" w:cs="Times New Roman"/>
      <w:b/>
      <w:sz w:val="32"/>
    </w:rPr>
  </w:style>
  <w:style w:type="character" w:customStyle="1" w:styleId="17">
    <w:name w:val="标题 4 字符"/>
    <w:basedOn w:val="9"/>
    <w:link w:val="3"/>
    <w:qFormat/>
    <w:uiPriority w:val="99"/>
    <w:rPr>
      <w:rFonts w:ascii="Calibri Light" w:hAnsi="Calibri Light" w:eastAsia="宋体" w:cs="Times New Roman"/>
      <w:b/>
      <w:bCs/>
      <w:sz w:val="28"/>
      <w:szCs w:val="28"/>
    </w:rPr>
  </w:style>
  <w:style w:type="character" w:customStyle="1" w:styleId="18">
    <w:name w:val="ALT+1 附件层级标题一 Char"/>
    <w:link w:val="19"/>
    <w:qFormat/>
    <w:uiPriority w:val="0"/>
    <w:rPr>
      <w:rFonts w:eastAsia="黑体"/>
      <w:sz w:val="32"/>
      <w:szCs w:val="24"/>
    </w:rPr>
  </w:style>
  <w:style w:type="paragraph" w:customStyle="1" w:styleId="19">
    <w:name w:val="ALT+1 附件层级标题一"/>
    <w:basedOn w:val="1"/>
    <w:link w:val="18"/>
    <w:qFormat/>
    <w:uiPriority w:val="0"/>
    <w:pPr>
      <w:numPr>
        <w:ilvl w:val="0"/>
        <w:numId w:val="1"/>
      </w:numPr>
      <w:tabs>
        <w:tab w:val="left" w:pos="1418"/>
      </w:tabs>
      <w:spacing w:line="560" w:lineRule="exact"/>
      <w:jc w:val="left"/>
      <w:outlineLvl w:val="0"/>
    </w:pPr>
    <w:rPr>
      <w:rFonts w:eastAsia="黑体" w:asciiTheme="minorHAnsi" w:hAnsiTheme="minorHAnsi" w:cstheme="minorBidi"/>
      <w:sz w:val="32"/>
      <w:szCs w:val="24"/>
    </w:rPr>
  </w:style>
  <w:style w:type="character" w:customStyle="1" w:styleId="20">
    <w:name w:val="ALT+3 附件层级标题三 Char"/>
    <w:link w:val="21"/>
    <w:qFormat/>
    <w:uiPriority w:val="0"/>
    <w:rPr>
      <w:rFonts w:eastAsia="仿宋_GB2312"/>
      <w:sz w:val="32"/>
      <w:szCs w:val="24"/>
    </w:rPr>
  </w:style>
  <w:style w:type="paragraph" w:customStyle="1" w:styleId="21">
    <w:name w:val="ALT+3 附件层级标题三"/>
    <w:basedOn w:val="1"/>
    <w:link w:val="20"/>
    <w:qFormat/>
    <w:uiPriority w:val="0"/>
    <w:pPr>
      <w:tabs>
        <w:tab w:val="left" w:pos="360"/>
        <w:tab w:val="left" w:pos="1260"/>
      </w:tabs>
      <w:spacing w:line="560" w:lineRule="exact"/>
      <w:ind w:hanging="420"/>
      <w:outlineLvl w:val="2"/>
    </w:pPr>
    <w:rPr>
      <w:rFonts w:eastAsia="仿宋_GB2312" w:asciiTheme="minorHAnsi" w:hAnsiTheme="minorHAnsi" w:cstheme="minorBidi"/>
      <w:sz w:val="32"/>
      <w:szCs w:val="24"/>
    </w:rPr>
  </w:style>
  <w:style w:type="paragraph" w:customStyle="1" w:styleId="22">
    <w:name w:val="ALT+Z 附件正文1"/>
    <w:basedOn w:val="1"/>
    <w:qFormat/>
    <w:uiPriority w:val="0"/>
    <w:pPr>
      <w:spacing w:line="560" w:lineRule="exact"/>
      <w:ind w:firstLine="640" w:firstLineChars="200"/>
    </w:pPr>
    <w:rPr>
      <w:rFonts w:ascii="仿宋_GB2312" w:eastAsia="仿宋_GB2312"/>
      <w:sz w:val="32"/>
      <w:szCs w:val="32"/>
    </w:rPr>
  </w:style>
  <w:style w:type="character" w:customStyle="1" w:styleId="23">
    <w:name w:val="纯文本 Char"/>
    <w:basedOn w:val="9"/>
    <w:semiHidden/>
    <w:qFormat/>
    <w:uiPriority w:val="99"/>
    <w:rPr>
      <w:rFonts w:ascii="宋体" w:hAnsi="Courier New" w:eastAsia="宋体" w:cs="Courier New"/>
      <w:szCs w:val="21"/>
    </w:rPr>
  </w:style>
  <w:style w:type="character" w:customStyle="1" w:styleId="24">
    <w:name w:val="纯文本 字符"/>
    <w:link w:val="4"/>
    <w:qFormat/>
    <w:uiPriority w:val="0"/>
    <w:rPr>
      <w:rFonts w:ascii="宋体" w:hAnsi="Courier New" w:eastAsia="宋体" w:cs="Times New Roman"/>
      <w:szCs w:val="20"/>
      <w:lang w:val="zh-CN" w:eastAsia="zh-CN"/>
    </w:rPr>
  </w:style>
  <w:style w:type="character" w:customStyle="1" w:styleId="25">
    <w:name w:val="批注框文本 字符"/>
    <w:basedOn w:val="9"/>
    <w:link w:val="5"/>
    <w:semiHidden/>
    <w:qFormat/>
    <w:uiPriority w:val="99"/>
    <w:rPr>
      <w:rFonts w:ascii="Calibri" w:hAnsi="Calibri" w:eastAsia="宋体" w:cs="Times New Roman"/>
      <w:sz w:val="18"/>
      <w:szCs w:val="18"/>
    </w:rPr>
  </w:style>
  <w:style w:type="character" w:customStyle="1" w:styleId="26">
    <w:name w:val="纯文本 Char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255</Words>
  <Characters>1454</Characters>
  <Lines>12</Lines>
  <Paragraphs>3</Paragraphs>
  <TotalTime>0</TotalTime>
  <ScaleCrop>false</ScaleCrop>
  <LinksUpToDate>false</LinksUpToDate>
  <CharactersWithSpaces>1706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2020-09-21T09:39:32Z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