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2D" w:rsidRDefault="0076652D" w:rsidP="0076652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一、项目概况</w:t>
      </w:r>
    </w:p>
    <w:p w:rsidR="0076652D" w:rsidRDefault="0076652D" w:rsidP="0076652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890,000.00元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890,000.00元</w:t>
      </w:r>
    </w:p>
    <w:p w:rsidR="0076652D" w:rsidRDefault="0076652D" w:rsidP="0076652D">
      <w:pPr>
        <w:rPr>
          <w:rFonts w:ascii="新宋体" w:eastAsia="新宋体" w:hAnsi="新宋体" w:cs="宋体"/>
          <w:szCs w:val="21"/>
        </w:rPr>
      </w:pP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（二）项目概况: 为进一步摸清政务信息系统和公共数据资源底数，建立完善全市统一的政务信息系统清单、公共数据资源清单和需求清单，逐步解决当前</w:t>
      </w:r>
      <w:proofErr w:type="gramStart"/>
      <w:r>
        <w:rPr>
          <w:rFonts w:ascii="新宋体" w:eastAsia="新宋体" w:hAnsi="新宋体" w:cs="宋体" w:hint="eastAsia"/>
          <w:szCs w:val="21"/>
        </w:rPr>
        <w:t>系统台</w:t>
      </w:r>
      <w:proofErr w:type="gramEnd"/>
      <w:r>
        <w:rPr>
          <w:rFonts w:ascii="新宋体" w:eastAsia="新宋体" w:hAnsi="新宋体" w:cs="宋体" w:hint="eastAsia"/>
          <w:szCs w:val="21"/>
        </w:rPr>
        <w:t>账不全、数据家底不清、数据基准性不高、数据碎片化等问题，实现全市数据资源“一本账”管理；建立公共数据资源目录维护常态化更新机制，推动“数据上云，服务下沉”，更好支撑改善民生服务和优化营商环境工作。根据省里统一部署，拟组织开展全市公共数据资源普查工作。为结合深圳实际做好全市公共数据资源普查，拟开展公共数据资源普查服务项目采购工作，为全市开展数据普查提供技术支持服务。</w:t>
      </w:r>
    </w:p>
    <w:p w:rsidR="0076652D" w:rsidRDefault="0076652D" w:rsidP="0076652D">
      <w:pPr>
        <w:rPr>
          <w:b/>
          <w:bCs/>
          <w:szCs w:val="21"/>
        </w:rPr>
      </w:pPr>
    </w:p>
    <w:p w:rsidR="0076652D" w:rsidRDefault="0076652D" w:rsidP="0076652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二、项目技术要求</w:t>
      </w:r>
    </w:p>
    <w:p w:rsidR="0076652D" w:rsidRDefault="0076652D" w:rsidP="0076652D">
      <w:pPr>
        <w:spacing w:line="360" w:lineRule="auto"/>
        <w:rPr>
          <w:rFonts w:ascii="新宋体" w:eastAsia="新宋体" w:hAnsi="新宋体"/>
        </w:rPr>
      </w:pPr>
      <w:r>
        <w:rPr>
          <w:rFonts w:ascii="新宋体" w:eastAsia="新宋体" w:hAnsi="新宋体" w:hint="eastAsia"/>
        </w:rPr>
        <w:t>（一）服务内容和范围</w:t>
      </w:r>
    </w:p>
    <w:p w:rsidR="0076652D" w:rsidRDefault="0076652D" w:rsidP="0076652D">
      <w:pPr>
        <w:spacing w:line="360" w:lineRule="auto"/>
        <w:rPr>
          <w:rFonts w:ascii="新宋体" w:eastAsia="新宋体" w:hAnsi="新宋体"/>
        </w:rPr>
      </w:pPr>
      <w:r>
        <w:rPr>
          <w:rFonts w:ascii="新宋体" w:eastAsia="新宋体" w:hAnsi="新宋体" w:hint="eastAsia"/>
        </w:rPr>
        <w:t>本次公共数据资源普查服务项目范围包括如下：</w:t>
      </w:r>
    </w:p>
    <w:p w:rsidR="0076652D" w:rsidRDefault="0076652D" w:rsidP="0076652D">
      <w:pPr>
        <w:spacing w:line="360" w:lineRule="auto"/>
        <w:rPr>
          <w:rFonts w:ascii="新宋体" w:eastAsia="新宋体" w:hAnsi="新宋体"/>
        </w:rPr>
      </w:pPr>
      <w:r>
        <w:rPr>
          <w:rFonts w:ascii="新宋体" w:eastAsia="新宋体" w:hAnsi="新宋体" w:hint="eastAsia"/>
        </w:rPr>
        <w:t>1.对全市各区、各部门（共53家单位）公共数据资源管理情况进行调研，通过线上交流、调研问卷填报和现场访谈等多种形式，从公共数据资源的业务覆盖、应用规划和数据管理等多维度进行全面深入调研，形成公共数据资源数据管理调研分析报告；</w:t>
      </w:r>
    </w:p>
    <w:p w:rsidR="0076652D" w:rsidRDefault="0076652D" w:rsidP="0076652D">
      <w:pPr>
        <w:spacing w:line="360" w:lineRule="auto"/>
        <w:rPr>
          <w:rFonts w:ascii="新宋体" w:eastAsia="新宋体" w:hAnsi="新宋体"/>
        </w:rPr>
      </w:pPr>
      <w:r>
        <w:rPr>
          <w:rFonts w:ascii="新宋体" w:eastAsia="新宋体" w:hAnsi="新宋体" w:hint="eastAsia"/>
        </w:rPr>
        <w:t>2.指导并协助各区、各部门（共53家单位）全面梳理政务信息系统、公共数据资源和数据需求，编制政务信息系统清单、公共数据资源清单和数据需求清单（简称三张清单），对各区、各单位的三张清单进行审核、汇总，形成全市政务信息系统清单、公共数据资源清单和数据需求清单，并建立常态化更新机制；</w:t>
      </w:r>
    </w:p>
    <w:p w:rsidR="0076652D" w:rsidRDefault="0076652D" w:rsidP="0076652D">
      <w:pPr>
        <w:spacing w:line="360" w:lineRule="auto"/>
        <w:rPr>
          <w:rFonts w:ascii="新宋体" w:eastAsia="新宋体" w:hAnsi="新宋体"/>
        </w:rPr>
      </w:pPr>
      <w:r>
        <w:rPr>
          <w:rFonts w:ascii="新宋体" w:eastAsia="新宋体" w:hAnsi="新宋体" w:hint="eastAsia"/>
        </w:rPr>
        <w:t>3.开展全市公共数据血缘分析工作，针对数据血缘建设现状进行调研，形成数据血缘分析报告，建立数据血缘管理机制。</w:t>
      </w:r>
    </w:p>
    <w:p w:rsidR="0076652D" w:rsidRDefault="0076652D" w:rsidP="0076652D">
      <w:pPr>
        <w:spacing w:line="360" w:lineRule="auto"/>
        <w:rPr>
          <w:rFonts w:ascii="新宋体" w:eastAsia="新宋体" w:hAnsi="新宋体"/>
        </w:rPr>
      </w:pPr>
      <w:r>
        <w:rPr>
          <w:rFonts w:ascii="新宋体" w:eastAsia="新宋体" w:hAnsi="新宋体" w:hint="eastAsia"/>
        </w:rPr>
        <w:t>（二）服务人员要求</w:t>
      </w:r>
    </w:p>
    <w:p w:rsidR="0076652D" w:rsidRDefault="0076652D" w:rsidP="0076652D">
      <w:pPr>
        <w:spacing w:line="360" w:lineRule="auto"/>
        <w:rPr>
          <w:rFonts w:ascii="新宋体" w:eastAsia="新宋体" w:hAnsi="新宋体"/>
        </w:rPr>
      </w:pPr>
      <w:r>
        <w:rPr>
          <w:rFonts w:ascii="新宋体" w:eastAsia="新宋体" w:hAnsi="新宋体" w:hint="eastAsia"/>
        </w:rPr>
        <w:t>1.本项目要求安排10人或10人以上服务团队，且团队成员须为大专及以上学历。</w:t>
      </w:r>
    </w:p>
    <w:p w:rsidR="0076652D" w:rsidRDefault="0076652D" w:rsidP="0076652D">
      <w:pPr>
        <w:spacing w:line="360" w:lineRule="auto"/>
        <w:rPr>
          <w:b/>
        </w:rPr>
      </w:pPr>
      <w:r>
        <w:rPr>
          <w:rFonts w:ascii="新宋体" w:eastAsia="新宋体" w:hAnsi="新宋体" w:hint="eastAsia"/>
        </w:rPr>
        <w:t>2.本项目要求参与普查服务和数据调研的人员，须为计算机相关专业，且为大专及以上学历。</w:t>
      </w:r>
    </w:p>
    <w:p w:rsidR="0076652D" w:rsidRDefault="0076652D" w:rsidP="0076652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三、项目商务要求</w:t>
      </w:r>
    </w:p>
    <w:p w:rsidR="0076652D" w:rsidRPr="0076652D" w:rsidRDefault="0076652D" w:rsidP="0076652D">
      <w:pPr>
        <w:spacing w:line="360" w:lineRule="auto"/>
        <w:rPr>
          <w:rFonts w:ascii="新宋体" w:eastAsia="新宋体" w:hAnsi="新宋体" w:cs="宋体"/>
          <w:szCs w:val="21"/>
        </w:rPr>
      </w:pPr>
      <w:r w:rsidRPr="0076652D">
        <w:rPr>
          <w:rFonts w:ascii="新宋体" w:eastAsia="新宋体" w:hAnsi="新宋体" w:cs="宋体" w:hint="eastAsia"/>
          <w:szCs w:val="21"/>
        </w:rPr>
        <w:t>（一）服务期限：180天</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lastRenderedPageBreak/>
        <w:t>（二）服务地点：深圳市政务服务数据管理局指定地点。</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（三）报价要求：</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2.投标供应商应当根据本企业的成本自行决定报价，但不得以低于其企业成本的报价投标。</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3.投标供应商的报价不得超过项目预算金额。</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4.投标供应商的报价，应当是本项目采购范围和采购文件及合同条款上所列的各项内容中所述的全部，不得以任何理由予以重复。</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5.除非采购人通过修改采购文件予以更正，否则，投标供应商应毫无例外地按响应文件所列的清单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和数量填报综合单价和合价。投标供应商未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单价或合价的项目，在实施后，将不得以支付，并视作该项费用已包括在其它有价款的综合单价或合价内。</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6.投标供应商应先到项目地点踏勘以充分了解项目的位置、情况、道路及任何其它足以影响投标报价的情况，任何因忽视或误解项目情况而导致的索赔或服务期限延长申请将不获批准。</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（四）付款方式：</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首付款：签订合同后的十五个工作日内，乙方提供发票和合同金额40%的履约保证金，保证金按照银行履约保函的形式提供，经甲方审核确认后支付合同总价的100%；</w:t>
      </w:r>
    </w:p>
    <w:p w:rsidR="0076652D" w:rsidRDefault="0076652D" w:rsidP="0076652D">
      <w:pPr>
        <w:spacing w:line="360" w:lineRule="auto"/>
        <w:rPr>
          <w:rFonts w:ascii="新宋体" w:eastAsia="新宋体" w:hAnsi="新宋体" w:cs="宋体"/>
          <w:szCs w:val="21"/>
        </w:rPr>
      </w:pPr>
      <w:r>
        <w:rPr>
          <w:rFonts w:ascii="新宋体" w:eastAsia="新宋体" w:hAnsi="新宋体" w:cs="宋体" w:hint="eastAsia"/>
          <w:szCs w:val="21"/>
        </w:rPr>
        <w:t>尾款：乙方执行完成后，提交项目总结文件作为验收文档，经甲方审核确认后30个工作日内退还合同金额40%的履约保证金，不计利息。</w:t>
      </w:r>
    </w:p>
    <w:p w:rsidR="00000000" w:rsidRPr="0076652D" w:rsidRDefault="0076652D"/>
    <w:sectPr w:rsidR="00000000" w:rsidRPr="007665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52D" w:rsidRDefault="0076652D" w:rsidP="0076652D">
      <w:r>
        <w:separator/>
      </w:r>
    </w:p>
  </w:endnote>
  <w:endnote w:type="continuationSeparator" w:id="1">
    <w:p w:rsidR="0076652D" w:rsidRDefault="0076652D" w:rsidP="00766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52D" w:rsidRDefault="0076652D" w:rsidP="0076652D">
      <w:r>
        <w:separator/>
      </w:r>
    </w:p>
  </w:footnote>
  <w:footnote w:type="continuationSeparator" w:id="1">
    <w:p w:rsidR="0076652D" w:rsidRDefault="0076652D" w:rsidP="00766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52D"/>
    <w:rsid w:val="00766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5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652D"/>
    <w:rPr>
      <w:sz w:val="18"/>
      <w:szCs w:val="18"/>
    </w:rPr>
  </w:style>
  <w:style w:type="paragraph" w:styleId="a4">
    <w:name w:val="footer"/>
    <w:basedOn w:val="a"/>
    <w:link w:val="Char0"/>
    <w:uiPriority w:val="99"/>
    <w:semiHidden/>
    <w:unhideWhenUsed/>
    <w:rsid w:val="007665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652D"/>
    <w:rPr>
      <w:sz w:val="18"/>
      <w:szCs w:val="18"/>
    </w:rPr>
  </w:style>
  <w:style w:type="paragraph" w:styleId="a5">
    <w:name w:val="annotation text"/>
    <w:basedOn w:val="a"/>
    <w:link w:val="Char1"/>
    <w:qFormat/>
    <w:rsid w:val="0076652D"/>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1">
    <w:name w:val="批注文字 Char"/>
    <w:basedOn w:val="a0"/>
    <w:link w:val="a5"/>
    <w:qFormat/>
    <w:rsid w:val="0076652D"/>
    <w:rPr>
      <w:rFonts w:ascii="宋体" w:eastAsia="宋体" w:hAnsi="Times New Roman" w:cs="Times New Roman"/>
      <w:kern w:val="0"/>
      <w:sz w:val="34"/>
      <w:szCs w:val="20"/>
    </w:rPr>
  </w:style>
  <w:style w:type="character" w:styleId="a6">
    <w:name w:val="annotation reference"/>
    <w:basedOn w:val="a0"/>
    <w:qFormat/>
    <w:rsid w:val="0076652D"/>
    <w:rPr>
      <w:sz w:val="21"/>
      <w:szCs w:val="21"/>
    </w:rPr>
  </w:style>
  <w:style w:type="paragraph" w:styleId="a7">
    <w:name w:val="Balloon Text"/>
    <w:basedOn w:val="a"/>
    <w:link w:val="Char2"/>
    <w:uiPriority w:val="99"/>
    <w:semiHidden/>
    <w:unhideWhenUsed/>
    <w:rsid w:val="0076652D"/>
    <w:rPr>
      <w:sz w:val="18"/>
      <w:szCs w:val="18"/>
    </w:rPr>
  </w:style>
  <w:style w:type="character" w:customStyle="1" w:styleId="Char2">
    <w:name w:val="批注框文本 Char"/>
    <w:basedOn w:val="a0"/>
    <w:link w:val="a7"/>
    <w:uiPriority w:val="99"/>
    <w:semiHidden/>
    <w:rsid w:val="007665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2020-11-25T08:23:00Z</dcterms:created>
  <dcterms:modified xsi:type="dcterms:W3CDTF">2020-11-25T08:24:00Z</dcterms:modified>
</cp:coreProperties>
</file>