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F4" w:rsidRPr="001D2A62" w:rsidRDefault="009870F4" w:rsidP="009870F4">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rsidR="009870F4" w:rsidRPr="001D2A62" w:rsidRDefault="009870F4" w:rsidP="009870F4">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9870F4" w:rsidRPr="001D2A62" w:rsidRDefault="009870F4" w:rsidP="0045175B">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9870F4" w:rsidRPr="001D2A62" w:rsidRDefault="009870F4" w:rsidP="0045175B">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9870F4" w:rsidRPr="001D2A62" w:rsidRDefault="009870F4" w:rsidP="0045175B">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不允许</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9870F4" w:rsidRPr="00BD17FC" w:rsidRDefault="009870F4" w:rsidP="0045175B">
            <w:pPr>
              <w:spacing w:line="276" w:lineRule="auto"/>
              <w:rPr>
                <w:rFonts w:ascii="新宋体" w:eastAsia="新宋体" w:hAnsi="新宋体"/>
              </w:rPr>
            </w:pPr>
            <w:r w:rsidRPr="00BD17FC">
              <w:rPr>
                <w:rFonts w:ascii="新宋体" w:eastAsia="新宋体" w:hAnsi="新宋体" w:hint="eastAsia"/>
                <w:snapToGrid w:val="0"/>
                <w:szCs w:val="21"/>
                <w:lang w:val="zh-CN"/>
              </w:rPr>
              <w:t>本项目实行</w:t>
            </w:r>
            <w:bookmarkStart w:id="0" w:name="投递标书方式"/>
            <w:r w:rsidRPr="00BD17FC">
              <w:rPr>
                <w:rFonts w:ascii="新宋体" w:eastAsia="新宋体" w:hAnsi="新宋体" w:hint="eastAsia"/>
                <w:snapToGrid w:val="0"/>
                <w:szCs w:val="21"/>
                <w:u w:val="single"/>
                <w:lang w:val="zh-CN"/>
              </w:rPr>
              <w:t>网下投标</w:t>
            </w:r>
            <w:bookmarkEnd w:id="0"/>
            <w:r w:rsidRPr="00BD17FC">
              <w:rPr>
                <w:rFonts w:ascii="新宋体" w:eastAsia="新宋体" w:hAnsi="新宋体" w:hint="eastAsia"/>
                <w:snapToGrid w:val="0"/>
                <w:szCs w:val="21"/>
                <w:lang w:val="zh-CN"/>
              </w:rPr>
              <w:t>，按照谈判文件的要求提交纸质文件正本1份、副本4份（含电子文件）所有</w:t>
            </w:r>
            <w:r w:rsidRPr="00BD17FC">
              <w:rPr>
                <w:rFonts w:ascii="新宋体" w:eastAsia="新宋体" w:hAnsi="新宋体" w:cs="宋体" w:hint="eastAsia"/>
                <w:snapToGrid w:val="0"/>
                <w:szCs w:val="21"/>
                <w:lang w:val="zh-CN"/>
              </w:rPr>
              <w:t>谈判应答文件</w:t>
            </w:r>
            <w:r w:rsidRPr="00BD17FC">
              <w:rPr>
                <w:rFonts w:ascii="新宋体" w:eastAsia="新宋体" w:hAnsi="新宋体"/>
                <w:snapToGrid w:val="0"/>
                <w:szCs w:val="21"/>
                <w:lang w:val="zh-CN"/>
              </w:rPr>
              <w:t>应于</w:t>
            </w:r>
            <w:r w:rsidRPr="00BD17FC">
              <w:rPr>
                <w:rFonts w:ascii="新宋体" w:eastAsia="新宋体" w:hAnsi="新宋体" w:hint="eastAsia"/>
                <w:snapToGrid w:val="0"/>
                <w:szCs w:val="21"/>
                <w:lang w:val="zh-CN"/>
              </w:rPr>
              <w:t>递交截止时间</w:t>
            </w:r>
            <w:r w:rsidRPr="00BD17FC">
              <w:rPr>
                <w:rFonts w:ascii="新宋体" w:eastAsia="新宋体" w:hAnsi="新宋体"/>
                <w:snapToGrid w:val="0"/>
                <w:szCs w:val="21"/>
                <w:lang w:val="zh-CN"/>
              </w:rPr>
              <w:t>之前</w:t>
            </w:r>
            <w:r w:rsidRPr="00BD17FC">
              <w:rPr>
                <w:rFonts w:ascii="新宋体" w:eastAsia="新宋体" w:hAnsi="新宋体" w:hint="eastAsia"/>
                <w:snapToGrid w:val="0"/>
                <w:szCs w:val="21"/>
                <w:lang w:val="zh-CN"/>
              </w:rPr>
              <w:t>送达谈判文件规定的地址</w:t>
            </w:r>
            <w:r w:rsidRPr="00BD17FC">
              <w:rPr>
                <w:rFonts w:ascii="新宋体" w:eastAsia="新宋体" w:hAnsi="新宋体"/>
                <w:snapToGrid w:val="0"/>
                <w:szCs w:val="21"/>
                <w:lang w:val="zh-CN"/>
              </w:rPr>
              <w:t>。</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9870F4" w:rsidRPr="001D2A62" w:rsidRDefault="009870F4" w:rsidP="0045175B">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9870F4" w:rsidRPr="001D2A62" w:rsidTr="0045175B">
        <w:trPr>
          <w:cantSplit/>
          <w:trHeight w:val="20"/>
          <w:jc w:val="center"/>
        </w:trPr>
        <w:tc>
          <w:tcPr>
            <w:tcW w:w="827" w:type="dxa"/>
            <w:vAlign w:val="center"/>
          </w:tcPr>
          <w:p w:rsidR="009870F4" w:rsidRPr="001D2A62" w:rsidRDefault="009870F4" w:rsidP="0045175B">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9870F4" w:rsidRPr="00BD17FC" w:rsidRDefault="009870F4" w:rsidP="0045175B">
            <w:pPr>
              <w:spacing w:line="276" w:lineRule="auto"/>
              <w:rPr>
                <w:rFonts w:ascii="新宋体" w:eastAsia="新宋体" w:hAnsi="新宋体"/>
              </w:rPr>
            </w:pPr>
            <w:r w:rsidRPr="00BD17FC">
              <w:rPr>
                <w:rFonts w:ascii="新宋体" w:eastAsia="新宋体" w:hAnsi="新宋体" w:hint="eastAsia"/>
              </w:rPr>
              <w:t>中标</w:t>
            </w:r>
            <w:r w:rsidRPr="00BD17FC">
              <w:rPr>
                <w:rFonts w:ascii="新宋体" w:eastAsia="新宋体" w:hAnsi="新宋体"/>
              </w:rPr>
              <w:t>服务费</w:t>
            </w:r>
          </w:p>
        </w:tc>
        <w:tc>
          <w:tcPr>
            <w:tcW w:w="6239" w:type="dxa"/>
            <w:vAlign w:val="center"/>
          </w:tcPr>
          <w:p w:rsidR="009870F4" w:rsidRPr="00BD17FC" w:rsidRDefault="009870F4" w:rsidP="0045175B">
            <w:pPr>
              <w:spacing w:line="276" w:lineRule="auto"/>
              <w:rPr>
                <w:rFonts w:ascii="新宋体" w:eastAsia="新宋体" w:hAnsi="新宋体"/>
              </w:rPr>
            </w:pPr>
            <w:r w:rsidRPr="00BD17FC">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9870F4" w:rsidRPr="00E77E93" w:rsidRDefault="009870F4" w:rsidP="009870F4">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9870F4" w:rsidRPr="00FA4F9B" w:rsidRDefault="009870F4" w:rsidP="009870F4">
      <w:pPr>
        <w:rPr>
          <w:b/>
        </w:rPr>
      </w:pPr>
    </w:p>
    <w:p w:rsidR="009870F4" w:rsidRPr="00E77E93" w:rsidRDefault="009870F4" w:rsidP="009870F4">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9870F4" w:rsidRPr="00E77E93" w:rsidTr="0045175B">
        <w:trPr>
          <w:jc w:val="center"/>
        </w:trPr>
        <w:tc>
          <w:tcPr>
            <w:tcW w:w="959"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具体内容</w:t>
            </w:r>
          </w:p>
        </w:tc>
      </w:tr>
      <w:tr w:rsidR="009870F4" w:rsidRPr="00E77E93" w:rsidTr="0045175B">
        <w:trPr>
          <w:jc w:val="center"/>
        </w:trPr>
        <w:tc>
          <w:tcPr>
            <w:tcW w:w="959"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1</w:t>
            </w:r>
          </w:p>
        </w:tc>
        <w:tc>
          <w:tcPr>
            <w:tcW w:w="7938"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9870F4" w:rsidRPr="00E77E93" w:rsidTr="0045175B">
        <w:trPr>
          <w:jc w:val="center"/>
        </w:trPr>
        <w:tc>
          <w:tcPr>
            <w:tcW w:w="959"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2</w:t>
            </w:r>
          </w:p>
        </w:tc>
        <w:tc>
          <w:tcPr>
            <w:tcW w:w="7938" w:type="dxa"/>
          </w:tcPr>
          <w:p w:rsidR="009870F4" w:rsidRPr="00E77E93" w:rsidRDefault="009870F4" w:rsidP="0045175B">
            <w:pPr>
              <w:spacing w:line="276" w:lineRule="auto"/>
              <w:rPr>
                <w:rFonts w:ascii="新宋体" w:eastAsia="新宋体" w:hAnsi="新宋体"/>
              </w:rPr>
            </w:pPr>
          </w:p>
        </w:tc>
      </w:tr>
      <w:tr w:rsidR="009870F4" w:rsidRPr="00E77E93" w:rsidTr="0045175B">
        <w:trPr>
          <w:jc w:val="center"/>
        </w:trPr>
        <w:tc>
          <w:tcPr>
            <w:tcW w:w="959" w:type="dxa"/>
          </w:tcPr>
          <w:p w:rsidR="009870F4" w:rsidRPr="00E77E93" w:rsidRDefault="009870F4" w:rsidP="0045175B">
            <w:pPr>
              <w:spacing w:line="276" w:lineRule="auto"/>
              <w:rPr>
                <w:rFonts w:ascii="新宋体" w:eastAsia="新宋体" w:hAnsi="新宋体"/>
              </w:rPr>
            </w:pPr>
            <w:r w:rsidRPr="00E77E93">
              <w:rPr>
                <w:rFonts w:ascii="新宋体" w:eastAsia="新宋体" w:hAnsi="新宋体" w:hint="eastAsia"/>
              </w:rPr>
              <w:t>……</w:t>
            </w:r>
          </w:p>
        </w:tc>
        <w:tc>
          <w:tcPr>
            <w:tcW w:w="7938" w:type="dxa"/>
          </w:tcPr>
          <w:p w:rsidR="009870F4" w:rsidRPr="00E77E93" w:rsidRDefault="009870F4" w:rsidP="0045175B">
            <w:pPr>
              <w:spacing w:line="276" w:lineRule="auto"/>
              <w:rPr>
                <w:rFonts w:ascii="新宋体" w:eastAsia="新宋体" w:hAnsi="新宋体"/>
              </w:rPr>
            </w:pPr>
          </w:p>
        </w:tc>
      </w:tr>
    </w:tbl>
    <w:p w:rsidR="009870F4" w:rsidRPr="00E77E93" w:rsidRDefault="009870F4" w:rsidP="009870F4">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9870F4" w:rsidRPr="00E77E93" w:rsidRDefault="009870F4" w:rsidP="009870F4">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9870F4"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金额</w:t>
      </w:r>
      <w:r>
        <w:rPr>
          <w:rFonts w:ascii="新宋体" w:eastAsia="新宋体" w:hAnsi="新宋体" w:cs="宋体" w:hint="eastAsia"/>
          <w:szCs w:val="21"/>
        </w:rPr>
        <w:t>（支付</w:t>
      </w:r>
      <w:r>
        <w:rPr>
          <w:rFonts w:ascii="新宋体" w:eastAsia="新宋体" w:hAnsi="新宋体" w:cs="宋体"/>
          <w:szCs w:val="21"/>
        </w:rPr>
        <w:t>上限）</w:t>
      </w:r>
      <w:r w:rsidRPr="00E77E93">
        <w:rPr>
          <w:rFonts w:ascii="新宋体" w:eastAsia="新宋体" w:hAnsi="新宋体" w:cs="宋体" w:hint="eastAsia"/>
          <w:szCs w:val="21"/>
        </w:rPr>
        <w:t xml:space="preserve">: </w:t>
      </w:r>
      <w:r w:rsidRPr="00470244">
        <w:rPr>
          <w:rFonts w:ascii="新宋体" w:eastAsia="新宋体" w:hAnsi="新宋体" w:cs="宋体" w:hint="eastAsia"/>
          <w:szCs w:val="21"/>
        </w:rPr>
        <w:t>不超过100万</w:t>
      </w:r>
    </w:p>
    <w:p w:rsidR="009870F4" w:rsidRPr="00FA4F9B" w:rsidRDefault="009870F4" w:rsidP="009870F4">
      <w:pPr>
        <w:spacing w:line="360" w:lineRule="auto"/>
        <w:rPr>
          <w:b/>
          <w:bCs/>
          <w:szCs w:val="21"/>
        </w:rPr>
      </w:pPr>
      <w:r w:rsidRPr="00E77E93">
        <w:rPr>
          <w:rFonts w:ascii="新宋体" w:eastAsia="新宋体" w:hAnsi="新宋体" w:cs="宋体" w:hint="eastAsia"/>
          <w:szCs w:val="21"/>
        </w:rPr>
        <w:t>（二）</w:t>
      </w:r>
      <w:r w:rsidRPr="00480C69">
        <w:rPr>
          <w:rFonts w:ascii="新宋体" w:eastAsia="新宋体" w:hAnsi="新宋体" w:cs="宋体" w:hint="eastAsia"/>
          <w:szCs w:val="21"/>
        </w:rPr>
        <w:t>项目概况: 本项目为深圳市南山区前海学校文化建设服务资格采购，服务时间为壹年。深圳市南山区前海学校文化建设服务按学校具体</w:t>
      </w:r>
      <w:r w:rsidRPr="00480C69">
        <w:rPr>
          <w:rFonts w:ascii="新宋体" w:eastAsia="新宋体" w:hAnsi="新宋体" w:cs="宋体"/>
          <w:szCs w:val="21"/>
        </w:rPr>
        <w:t>需求</w:t>
      </w:r>
      <w:r w:rsidRPr="00480C69">
        <w:rPr>
          <w:rFonts w:ascii="新宋体" w:eastAsia="新宋体" w:hAnsi="新宋体" w:cs="宋体" w:hint="eastAsia"/>
          <w:szCs w:val="21"/>
        </w:rPr>
        <w:t>进行采购。</w:t>
      </w:r>
      <w:r w:rsidRPr="00480C69">
        <w:rPr>
          <w:rFonts w:ascii="新宋体" w:eastAsia="新宋体" w:hAnsi="新宋体" w:cs="宋体"/>
          <w:szCs w:val="21"/>
        </w:rPr>
        <w:cr/>
      </w:r>
    </w:p>
    <w:p w:rsidR="009870F4" w:rsidRDefault="009870F4" w:rsidP="009870F4">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9870F4" w:rsidRPr="00480C69" w:rsidRDefault="009870F4" w:rsidP="009870F4">
      <w:pPr>
        <w:spacing w:line="360" w:lineRule="auto"/>
        <w:ind w:firstLineChars="200" w:firstLine="420"/>
        <w:rPr>
          <w:rFonts w:ascii="新宋体" w:eastAsia="新宋体" w:hAnsi="新宋体" w:cs="宋体"/>
          <w:szCs w:val="21"/>
        </w:rPr>
      </w:pPr>
      <w:r w:rsidRPr="00480C69">
        <w:rPr>
          <w:rFonts w:ascii="新宋体" w:eastAsia="新宋体" w:hAnsi="新宋体" w:cs="宋体" w:hint="eastAsia"/>
          <w:szCs w:val="21"/>
        </w:rPr>
        <w:lastRenderedPageBreak/>
        <w:t>1、本次采购的设备和材料必须是全新的，运输到达施工场地时的包装必须是原厂完整的；（文化类，如有提供设计图，乙方提交设计方案初稿，有义务按甲方要求进行修改和对图纸中出现的偏差进行纠正。甲方提出的修改次数不得超过3次，每次审稿时间不得超过2天。因甲方原因延误审稿时间的，乙方设计方案的交付时间相应顺延。设计稿终稿交付甲方审核超过规定时间甲方仍未提出异议的，视为同意设计方案）</w:t>
      </w:r>
    </w:p>
    <w:p w:rsidR="009870F4" w:rsidRPr="00480C69" w:rsidRDefault="009870F4" w:rsidP="009870F4">
      <w:pPr>
        <w:spacing w:line="360" w:lineRule="auto"/>
        <w:ind w:firstLineChars="200" w:firstLine="420"/>
        <w:rPr>
          <w:rFonts w:ascii="新宋体" w:eastAsia="新宋体" w:hAnsi="新宋体" w:cs="宋体"/>
          <w:szCs w:val="21"/>
        </w:rPr>
      </w:pPr>
      <w:r w:rsidRPr="00480C69">
        <w:rPr>
          <w:rFonts w:ascii="新宋体" w:eastAsia="新宋体" w:hAnsi="新宋体" w:cs="宋体" w:hint="eastAsia"/>
          <w:szCs w:val="21"/>
        </w:rPr>
        <w:t>2、所用的设备及材料需满足国家相关质量标准及安全标准。</w:t>
      </w:r>
    </w:p>
    <w:p w:rsidR="009870F4" w:rsidRPr="00480C69" w:rsidRDefault="009870F4" w:rsidP="009870F4">
      <w:pPr>
        <w:spacing w:line="360" w:lineRule="auto"/>
        <w:ind w:firstLineChars="200" w:firstLine="420"/>
        <w:rPr>
          <w:rFonts w:ascii="新宋体" w:eastAsia="新宋体" w:hAnsi="新宋体" w:cs="宋体"/>
          <w:szCs w:val="21"/>
        </w:rPr>
      </w:pPr>
      <w:r w:rsidRPr="00480C69">
        <w:rPr>
          <w:rFonts w:ascii="新宋体" w:eastAsia="新宋体" w:hAnsi="新宋体" w:cs="宋体" w:hint="eastAsia"/>
          <w:szCs w:val="21"/>
        </w:rPr>
        <w:t>3、工期：以双方</w:t>
      </w:r>
      <w:r w:rsidRPr="00480C69">
        <w:rPr>
          <w:rFonts w:ascii="新宋体" w:eastAsia="新宋体" w:hAnsi="新宋体" w:cs="宋体"/>
          <w:szCs w:val="21"/>
        </w:rPr>
        <w:t>签订合同预定时间为准</w:t>
      </w:r>
      <w:r w:rsidRPr="00480C69">
        <w:rPr>
          <w:rFonts w:ascii="新宋体" w:eastAsia="新宋体" w:hAnsi="新宋体" w:cs="宋体" w:hint="eastAsia"/>
          <w:szCs w:val="21"/>
        </w:rPr>
        <w:t>。</w:t>
      </w:r>
    </w:p>
    <w:p w:rsidR="009870F4" w:rsidRPr="00480C69" w:rsidRDefault="009870F4" w:rsidP="009870F4">
      <w:pPr>
        <w:spacing w:line="360" w:lineRule="auto"/>
        <w:ind w:firstLineChars="200" w:firstLine="420"/>
        <w:rPr>
          <w:rFonts w:ascii="新宋体" w:eastAsia="新宋体" w:hAnsi="新宋体" w:cs="宋体"/>
          <w:szCs w:val="21"/>
        </w:rPr>
      </w:pPr>
      <w:r w:rsidRPr="00480C69">
        <w:rPr>
          <w:rFonts w:ascii="新宋体" w:eastAsia="新宋体" w:hAnsi="新宋体" w:cs="宋体" w:hint="eastAsia"/>
          <w:szCs w:val="21"/>
        </w:rPr>
        <w:t>4、中标人须在供货前进行品牌、型号、材料等核对并经需方确认，否则施工过程中出现的任何分歧及由此产生的任何后果由中标方负责。</w:t>
      </w:r>
    </w:p>
    <w:p w:rsidR="009870F4" w:rsidRPr="00480C69" w:rsidRDefault="009870F4" w:rsidP="009870F4">
      <w:pPr>
        <w:spacing w:line="360" w:lineRule="auto"/>
        <w:ind w:firstLineChars="200" w:firstLine="420"/>
        <w:rPr>
          <w:rFonts w:ascii="新宋体" w:eastAsia="新宋体" w:hAnsi="新宋体" w:cs="宋体"/>
          <w:szCs w:val="21"/>
        </w:rPr>
      </w:pPr>
      <w:r w:rsidRPr="00480C69">
        <w:rPr>
          <w:rFonts w:ascii="新宋体" w:eastAsia="新宋体" w:hAnsi="新宋体" w:cs="宋体" w:hint="eastAsia"/>
          <w:szCs w:val="21"/>
        </w:rPr>
        <w:t>5、本项目中标公司必须按照学校要求的品牌提供产品，文化类须按照学校要求提供相关设计，否则无效处理。</w:t>
      </w:r>
    </w:p>
    <w:p w:rsidR="009870F4" w:rsidRPr="00480C69" w:rsidRDefault="009870F4" w:rsidP="009870F4">
      <w:pPr>
        <w:rPr>
          <w:b/>
        </w:rPr>
      </w:pPr>
    </w:p>
    <w:p w:rsidR="009870F4" w:rsidRPr="00480C69" w:rsidRDefault="009870F4" w:rsidP="009870F4">
      <w:pPr>
        <w:widowControl/>
        <w:spacing w:after="100" w:afterAutospacing="1"/>
        <w:jc w:val="left"/>
        <w:rPr>
          <w:rFonts w:ascii="华文中宋" w:eastAsia="华文中宋" w:hAnsi="华文中宋"/>
          <w:kern w:val="0"/>
          <w:sz w:val="28"/>
          <w:szCs w:val="28"/>
        </w:rPr>
      </w:pPr>
      <w:r w:rsidRPr="00480C69">
        <w:rPr>
          <w:rFonts w:ascii="华文中宋" w:eastAsia="华文中宋" w:hAnsi="华文中宋" w:hint="eastAsia"/>
          <w:kern w:val="0"/>
          <w:sz w:val="28"/>
          <w:szCs w:val="28"/>
        </w:rPr>
        <w:t>五、项目商务要求</w:t>
      </w:r>
    </w:p>
    <w:p w:rsidR="009870F4" w:rsidRPr="00480C69" w:rsidRDefault="009870F4" w:rsidP="009870F4">
      <w:pPr>
        <w:spacing w:line="360" w:lineRule="auto"/>
        <w:rPr>
          <w:rFonts w:ascii="新宋体" w:eastAsia="新宋体" w:hAnsi="新宋体" w:cs="宋体"/>
          <w:szCs w:val="21"/>
        </w:rPr>
      </w:pPr>
      <w:r w:rsidRPr="00480C69">
        <w:rPr>
          <w:rFonts w:ascii="新宋体" w:eastAsia="新宋体" w:hAnsi="新宋体" w:cs="宋体" w:hint="eastAsia"/>
          <w:szCs w:val="21"/>
        </w:rPr>
        <w:t>1、服务期限：合同签订之日起</w:t>
      </w:r>
      <w:r w:rsidRPr="00480C69">
        <w:rPr>
          <w:rFonts w:ascii="新宋体" w:eastAsia="新宋体" w:hAnsi="新宋体" w:cs="宋体"/>
          <w:szCs w:val="21"/>
        </w:rPr>
        <w:t>一年</w:t>
      </w:r>
      <w:r w:rsidRPr="00480C69">
        <w:rPr>
          <w:rFonts w:ascii="新宋体" w:eastAsia="新宋体" w:hAnsi="新宋体" w:cs="宋体" w:hint="eastAsia"/>
          <w:szCs w:val="21"/>
        </w:rPr>
        <w:t>；本次项目合同期满后，采购单位可依据对中标供应商的考核情况以及《深圳市政府采购条例》第三十八条的规定续签合同，但合同的履行期限不得超过36个月，合同一年一签，合同期内所有合同实质性条款不得改变，并按有关要求进行备案，并以此作为申请付款的依据。</w:t>
      </w:r>
    </w:p>
    <w:p w:rsidR="009870F4" w:rsidRPr="00480C69" w:rsidRDefault="009870F4" w:rsidP="009870F4">
      <w:pPr>
        <w:spacing w:line="360" w:lineRule="auto"/>
        <w:rPr>
          <w:rFonts w:ascii="新宋体" w:eastAsia="新宋体" w:hAnsi="新宋体" w:cs="宋体"/>
          <w:szCs w:val="21"/>
        </w:rPr>
      </w:pPr>
      <w:r w:rsidRPr="00480C69">
        <w:rPr>
          <w:rFonts w:ascii="新宋体" w:eastAsia="新宋体" w:hAnsi="新宋体" w:cs="宋体" w:hint="eastAsia"/>
          <w:szCs w:val="21"/>
        </w:rPr>
        <w:t>2、付款方式：按实际采购内容结算</w:t>
      </w:r>
    </w:p>
    <w:p w:rsidR="009870F4" w:rsidRPr="008973A5"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3、</w:t>
      </w:r>
      <w:r w:rsidRPr="008973A5">
        <w:rPr>
          <w:rFonts w:ascii="新宋体" w:eastAsia="新宋体" w:hAnsi="新宋体" w:cs="宋体" w:hint="eastAsia"/>
          <w:szCs w:val="21"/>
        </w:rPr>
        <w:t>要求中标方对本项目所采购的各项货物及货物集成提供1年的质保期（有注明的除外）。</w:t>
      </w:r>
    </w:p>
    <w:p w:rsidR="009870F4"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4、</w:t>
      </w:r>
      <w:r w:rsidRPr="008973A5">
        <w:rPr>
          <w:rFonts w:ascii="新宋体" w:eastAsia="新宋体" w:hAnsi="新宋体" w:cs="宋体" w:hint="eastAsia"/>
          <w:szCs w:val="21"/>
        </w:rPr>
        <w:t>要求中标方在工程完工后一周内，免费向用户方进行技术培训工作。</w:t>
      </w:r>
      <w:r>
        <w:rPr>
          <w:rFonts w:ascii="新宋体" w:eastAsia="新宋体" w:hAnsi="新宋体" w:cs="宋体" w:hint="eastAsia"/>
          <w:szCs w:val="21"/>
        </w:rPr>
        <w:t>（如有）</w:t>
      </w:r>
    </w:p>
    <w:p w:rsidR="009870F4"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5、中</w:t>
      </w:r>
      <w:r w:rsidRPr="009B19E9">
        <w:rPr>
          <w:rFonts w:ascii="新宋体" w:eastAsia="新宋体" w:hAnsi="新宋体" w:cs="宋体" w:hint="eastAsia"/>
          <w:szCs w:val="21"/>
        </w:rPr>
        <w:t>标</w:t>
      </w:r>
      <w:r>
        <w:rPr>
          <w:rFonts w:ascii="新宋体" w:eastAsia="新宋体" w:hAnsi="新宋体" w:cs="宋体" w:hint="eastAsia"/>
          <w:szCs w:val="21"/>
        </w:rPr>
        <w:t>人每</w:t>
      </w:r>
      <w:r>
        <w:rPr>
          <w:rFonts w:ascii="新宋体" w:eastAsia="新宋体" w:hAnsi="新宋体" w:cs="宋体"/>
          <w:szCs w:val="21"/>
        </w:rPr>
        <w:t>项目报</w:t>
      </w:r>
      <w:r w:rsidRPr="009B19E9">
        <w:rPr>
          <w:rFonts w:ascii="新宋体" w:eastAsia="新宋体" w:hAnsi="新宋体" w:cs="宋体" w:hint="eastAsia"/>
          <w:szCs w:val="21"/>
        </w:rPr>
        <w:t>价必须是完成该项目的一切费用总和，包括投标费、设备费、运输费、装卸费、保险费、技术培训费、设备安装费、调试费、检测费、国家规定的各项税费等。</w:t>
      </w:r>
    </w:p>
    <w:p w:rsidR="009870F4"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6、</w:t>
      </w:r>
      <w:r w:rsidRPr="009B19E9">
        <w:rPr>
          <w:rFonts w:ascii="新宋体" w:eastAsia="新宋体" w:hAnsi="新宋体" w:cs="宋体" w:hint="eastAsia"/>
          <w:szCs w:val="21"/>
        </w:rPr>
        <w:t>中标供应商在签订合同时应提供投标文件打印稿贰份，并加盖公章（一份交给监理公司，一份交给学校），同时提供投标文件的OFFICE文档。</w:t>
      </w:r>
    </w:p>
    <w:p w:rsidR="009870F4"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7、</w:t>
      </w:r>
      <w:r w:rsidRPr="009B19E9">
        <w:rPr>
          <w:rFonts w:ascii="新宋体" w:eastAsia="新宋体" w:hAnsi="新宋体" w:cs="宋体" w:hint="eastAsia"/>
          <w:szCs w:val="21"/>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rsidR="009870F4" w:rsidRPr="009B19E9" w:rsidRDefault="009870F4" w:rsidP="009870F4">
      <w:pPr>
        <w:spacing w:line="360" w:lineRule="auto"/>
        <w:rPr>
          <w:rFonts w:ascii="新宋体" w:eastAsia="新宋体" w:hAnsi="新宋体" w:cs="宋体"/>
          <w:szCs w:val="21"/>
        </w:rPr>
      </w:pPr>
      <w:r>
        <w:rPr>
          <w:rFonts w:ascii="新宋体" w:eastAsia="新宋体" w:hAnsi="新宋体" w:cs="宋体"/>
          <w:szCs w:val="21"/>
        </w:rPr>
        <w:t>8</w:t>
      </w:r>
      <w:r w:rsidRPr="009B19E9">
        <w:rPr>
          <w:rFonts w:ascii="新宋体" w:eastAsia="新宋体" w:hAnsi="新宋体" w:cs="宋体" w:hint="eastAsia"/>
          <w:szCs w:val="21"/>
        </w:rPr>
        <w:t>、验收办法：</w:t>
      </w:r>
    </w:p>
    <w:p w:rsidR="009870F4" w:rsidRPr="009B19E9" w:rsidRDefault="009870F4" w:rsidP="009870F4">
      <w:pPr>
        <w:spacing w:line="360" w:lineRule="auto"/>
        <w:rPr>
          <w:rFonts w:ascii="新宋体" w:eastAsia="新宋体" w:hAnsi="新宋体" w:cs="宋体"/>
          <w:szCs w:val="21"/>
        </w:rPr>
      </w:pPr>
      <w:r w:rsidRPr="009B19E9">
        <w:rPr>
          <w:rFonts w:ascii="新宋体" w:eastAsia="新宋体" w:hAnsi="新宋体" w:cs="宋体" w:hint="eastAsia"/>
          <w:szCs w:val="21"/>
        </w:rPr>
        <w:t>（1）服务经过双方检验认可后，签署验收报告。</w:t>
      </w:r>
    </w:p>
    <w:p w:rsidR="009870F4" w:rsidRPr="009B19E9" w:rsidRDefault="009870F4" w:rsidP="009870F4">
      <w:pPr>
        <w:spacing w:line="360" w:lineRule="auto"/>
        <w:rPr>
          <w:rFonts w:ascii="新宋体" w:eastAsia="新宋体" w:hAnsi="新宋体" w:cs="宋体"/>
          <w:szCs w:val="21"/>
        </w:rPr>
      </w:pPr>
      <w:r w:rsidRPr="009B19E9">
        <w:rPr>
          <w:rFonts w:ascii="新宋体" w:eastAsia="新宋体" w:hAnsi="新宋体" w:cs="宋体" w:hint="eastAsia"/>
          <w:szCs w:val="21"/>
        </w:rPr>
        <w:lastRenderedPageBreak/>
        <w:t>（2）当满足以下条件时，采购人才向成交人签发验收报告：</w:t>
      </w:r>
    </w:p>
    <w:p w:rsidR="009870F4" w:rsidRPr="009B19E9" w:rsidRDefault="009870F4" w:rsidP="009870F4">
      <w:pPr>
        <w:spacing w:line="360" w:lineRule="auto"/>
        <w:ind w:firstLineChars="250" w:firstLine="525"/>
        <w:rPr>
          <w:rFonts w:ascii="新宋体" w:eastAsia="新宋体" w:hAnsi="新宋体" w:cs="宋体"/>
          <w:szCs w:val="21"/>
        </w:rPr>
      </w:pPr>
      <w:r w:rsidRPr="009B19E9">
        <w:rPr>
          <w:rFonts w:ascii="新宋体" w:eastAsia="新宋体" w:hAnsi="新宋体" w:cs="宋体" w:hint="eastAsia"/>
          <w:szCs w:val="21"/>
        </w:rPr>
        <w:t>成交供应商已按照合同规定提供了全部技术资料。</w:t>
      </w:r>
    </w:p>
    <w:p w:rsidR="009870F4" w:rsidRDefault="009870F4" w:rsidP="009870F4">
      <w:pPr>
        <w:spacing w:line="360" w:lineRule="auto"/>
        <w:rPr>
          <w:rFonts w:ascii="新宋体" w:eastAsia="新宋体" w:hAnsi="新宋体" w:cs="宋体"/>
          <w:szCs w:val="21"/>
        </w:rPr>
      </w:pPr>
      <w:r>
        <w:rPr>
          <w:rFonts w:ascii="新宋体" w:eastAsia="新宋体" w:hAnsi="新宋体" w:cs="宋体"/>
          <w:szCs w:val="21"/>
        </w:rPr>
        <w:t>9</w:t>
      </w:r>
      <w:r w:rsidRPr="009B19E9">
        <w:rPr>
          <w:rFonts w:ascii="新宋体" w:eastAsia="新宋体" w:hAnsi="新宋体" w:cs="宋体" w:hint="eastAsia"/>
          <w:szCs w:val="21"/>
        </w:rPr>
        <w:t>、付款方式：</w:t>
      </w:r>
      <w:r>
        <w:rPr>
          <w:rFonts w:ascii="新宋体" w:eastAsia="新宋体" w:hAnsi="新宋体" w:cs="宋体" w:hint="eastAsia"/>
          <w:szCs w:val="21"/>
        </w:rPr>
        <w:t>每个</w:t>
      </w:r>
      <w:r w:rsidRPr="009B19E9">
        <w:rPr>
          <w:rFonts w:ascii="新宋体" w:eastAsia="新宋体" w:hAnsi="新宋体" w:cs="宋体" w:hint="eastAsia"/>
          <w:szCs w:val="21"/>
        </w:rPr>
        <w:t>项目全面验收合格后，支付</w:t>
      </w:r>
      <w:r>
        <w:rPr>
          <w:rFonts w:ascii="新宋体" w:eastAsia="新宋体" w:hAnsi="新宋体" w:cs="宋体" w:hint="eastAsia"/>
          <w:szCs w:val="21"/>
        </w:rPr>
        <w:t>该</w:t>
      </w:r>
      <w:r w:rsidRPr="009B19E9">
        <w:rPr>
          <w:rFonts w:ascii="新宋体" w:eastAsia="新宋体" w:hAnsi="新宋体" w:cs="宋体" w:hint="eastAsia"/>
          <w:szCs w:val="21"/>
        </w:rPr>
        <w:t>项目款总额的100%，支付要求及时限以财政部门的规定为准。</w:t>
      </w:r>
    </w:p>
    <w:p w:rsidR="009870F4" w:rsidRPr="009B19E9"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10、</w:t>
      </w:r>
      <w:r w:rsidRPr="009B19E9">
        <w:rPr>
          <w:rFonts w:ascii="新宋体" w:eastAsia="新宋体" w:hAnsi="新宋体" w:cs="宋体" w:hint="eastAsia"/>
          <w:szCs w:val="21"/>
        </w:rPr>
        <w:t>投标商必须确保中标后提供的货物为正规渠道供货，不存在违反国家法律、法规的情况。</w:t>
      </w:r>
    </w:p>
    <w:p w:rsidR="009870F4" w:rsidRDefault="009870F4" w:rsidP="009870F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1</w:t>
      </w:r>
      <w:r w:rsidRPr="009B19E9">
        <w:rPr>
          <w:rFonts w:ascii="新宋体" w:eastAsia="新宋体" w:hAnsi="新宋体" w:cs="宋体" w:hint="eastAsia"/>
          <w:szCs w:val="21"/>
        </w:rPr>
        <w:t>、上报初验报告、终验报告时，除了表格中写明的材料外，还需要验收记录表、产品三证[指产品合格证、供货凭证（含产品授权或生产厂家证明）、产品检测证明（含第三方有资质检测机构出具的含有设备核心参数的有效检测报告、软件产品的软件测试报告和软件著作权证书）]、合同及附件；家具（含课桌椅）还需提供有害物质限量检测报告（现场抽样）；功能室在提交终验报告时还需提供室内环境污染检测报告。相应检测费用由中标商支付。</w:t>
      </w:r>
    </w:p>
    <w:p w:rsidR="009870F4" w:rsidRPr="009B19E9" w:rsidRDefault="009870F4" w:rsidP="009870F4">
      <w:pPr>
        <w:spacing w:line="360" w:lineRule="auto"/>
        <w:jc w:val="left"/>
        <w:rPr>
          <w:rFonts w:ascii="宋体" w:hAnsi="宋体"/>
          <w:szCs w:val="21"/>
        </w:rPr>
      </w:pPr>
      <w:r>
        <w:rPr>
          <w:rFonts w:ascii="宋体" w:hAnsi="宋体" w:hint="eastAsia"/>
          <w:szCs w:val="21"/>
        </w:rPr>
        <w:t>1</w:t>
      </w:r>
      <w:r>
        <w:rPr>
          <w:rFonts w:ascii="宋体" w:hAnsi="宋体"/>
          <w:szCs w:val="21"/>
        </w:rPr>
        <w:t>2</w:t>
      </w:r>
      <w:r w:rsidRPr="009B19E9">
        <w:rPr>
          <w:rFonts w:ascii="宋体" w:hAnsi="宋体" w:hint="eastAsia"/>
          <w:szCs w:val="21"/>
        </w:rPr>
        <w:t>、特别</w:t>
      </w:r>
      <w:r w:rsidRPr="009B19E9">
        <w:rPr>
          <w:rFonts w:ascii="宋体" w:hAnsi="宋体"/>
          <w:szCs w:val="21"/>
        </w:rPr>
        <w:t>条款</w:t>
      </w:r>
      <w:r w:rsidRPr="009B19E9">
        <w:rPr>
          <w:rFonts w:ascii="宋体" w:hAnsi="宋体" w:hint="eastAsia"/>
          <w:szCs w:val="21"/>
        </w:rPr>
        <w:t>：对于单纯家具（含课桌椅）项目、含家具或装修的功能室项目在验收时还需提供以下材料（相关费用由中标人承担）</w:t>
      </w:r>
    </w:p>
    <w:p w:rsidR="009870F4" w:rsidRPr="009B19E9" w:rsidRDefault="009870F4" w:rsidP="009870F4">
      <w:pPr>
        <w:spacing w:line="360" w:lineRule="auto"/>
        <w:jc w:val="left"/>
        <w:rPr>
          <w:rFonts w:ascii="宋体" w:hAnsi="宋体"/>
          <w:szCs w:val="21"/>
        </w:rPr>
      </w:pPr>
      <w:r w:rsidRPr="009B19E9">
        <w:rPr>
          <w:rFonts w:ascii="宋体" w:hAnsi="宋体" w:hint="eastAsia"/>
          <w:szCs w:val="21"/>
        </w:rPr>
        <w:t>（1）家具（含课桌椅）类货物应提供有害物质检测报告。根据深圳经济特区技术规范《家具成品及原辅材料中有害物质限量》（SZJG52-2016）的规定，需根据现场抽样并对以下项目进行检验且合格：</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2551"/>
        <w:gridCol w:w="1701"/>
        <w:gridCol w:w="2192"/>
      </w:tblGrid>
      <w:tr w:rsidR="009870F4" w:rsidRPr="009B19E9" w:rsidTr="0045175B">
        <w:trPr>
          <w:cantSplit/>
          <w:trHeight w:val="146"/>
          <w:tblHeader/>
          <w:jc w:val="center"/>
        </w:trPr>
        <w:tc>
          <w:tcPr>
            <w:tcW w:w="776" w:type="dxa"/>
            <w:vAlign w:val="center"/>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序号</w:t>
            </w:r>
          </w:p>
        </w:tc>
        <w:tc>
          <w:tcPr>
            <w:tcW w:w="1701" w:type="dxa"/>
            <w:vAlign w:val="center"/>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检验项目</w:t>
            </w:r>
          </w:p>
        </w:tc>
        <w:tc>
          <w:tcPr>
            <w:tcW w:w="2551" w:type="dxa"/>
            <w:vAlign w:val="center"/>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依据法律法规或标准条款</w:t>
            </w:r>
          </w:p>
        </w:tc>
        <w:tc>
          <w:tcPr>
            <w:tcW w:w="1701" w:type="dxa"/>
            <w:vAlign w:val="center"/>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强制性/推荐性</w:t>
            </w:r>
          </w:p>
        </w:tc>
        <w:tc>
          <w:tcPr>
            <w:tcW w:w="2192" w:type="dxa"/>
            <w:vAlign w:val="center"/>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检测方法</w:t>
            </w:r>
          </w:p>
        </w:tc>
      </w:tr>
      <w:tr w:rsidR="009870F4" w:rsidRPr="009B19E9" w:rsidTr="0045175B">
        <w:trPr>
          <w:cantSplit/>
          <w:trHeight w:val="250"/>
          <w:jc w:val="center"/>
        </w:trPr>
        <w:tc>
          <w:tcPr>
            <w:tcW w:w="776" w:type="dxa"/>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1</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甲醛释放量</w:t>
            </w:r>
          </w:p>
        </w:tc>
        <w:tc>
          <w:tcPr>
            <w:tcW w:w="2551"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强制性</w:t>
            </w:r>
          </w:p>
        </w:tc>
        <w:tc>
          <w:tcPr>
            <w:tcW w:w="2192"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r w:rsidRPr="009B19E9">
              <w:rPr>
                <w:rFonts w:ascii="宋体" w:hAnsi="宋体" w:hint="eastAsia"/>
                <w:szCs w:val="21"/>
              </w:rPr>
              <w:t xml:space="preserve"> GB/T31106-2014</w:t>
            </w:r>
          </w:p>
        </w:tc>
      </w:tr>
      <w:tr w:rsidR="009870F4" w:rsidRPr="009B19E9" w:rsidTr="0045175B">
        <w:trPr>
          <w:cantSplit/>
          <w:jc w:val="center"/>
        </w:trPr>
        <w:tc>
          <w:tcPr>
            <w:tcW w:w="776" w:type="dxa"/>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2</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苯释放量</w:t>
            </w:r>
          </w:p>
        </w:tc>
        <w:tc>
          <w:tcPr>
            <w:tcW w:w="2551"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强制性</w:t>
            </w:r>
          </w:p>
        </w:tc>
        <w:tc>
          <w:tcPr>
            <w:tcW w:w="2192"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r w:rsidRPr="009B19E9">
              <w:rPr>
                <w:rFonts w:ascii="宋体" w:hAnsi="宋体" w:hint="eastAsia"/>
                <w:szCs w:val="21"/>
              </w:rPr>
              <w:t xml:space="preserve"> GB/T31106-2014</w:t>
            </w:r>
          </w:p>
        </w:tc>
      </w:tr>
      <w:tr w:rsidR="009870F4" w:rsidRPr="009B19E9" w:rsidTr="0045175B">
        <w:trPr>
          <w:cantSplit/>
          <w:jc w:val="center"/>
        </w:trPr>
        <w:tc>
          <w:tcPr>
            <w:tcW w:w="776" w:type="dxa"/>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3</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甲苯释放量</w:t>
            </w:r>
          </w:p>
        </w:tc>
        <w:tc>
          <w:tcPr>
            <w:tcW w:w="2551"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强制性</w:t>
            </w:r>
          </w:p>
        </w:tc>
        <w:tc>
          <w:tcPr>
            <w:tcW w:w="2192"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r w:rsidRPr="009B19E9">
              <w:rPr>
                <w:rFonts w:ascii="宋体" w:hAnsi="宋体" w:hint="eastAsia"/>
                <w:szCs w:val="21"/>
              </w:rPr>
              <w:t xml:space="preserve"> GB/T31106-2014</w:t>
            </w:r>
          </w:p>
        </w:tc>
      </w:tr>
      <w:tr w:rsidR="009870F4" w:rsidRPr="009B19E9" w:rsidTr="0045175B">
        <w:trPr>
          <w:cantSplit/>
          <w:jc w:val="center"/>
        </w:trPr>
        <w:tc>
          <w:tcPr>
            <w:tcW w:w="776" w:type="dxa"/>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4</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二甲苯释放量</w:t>
            </w:r>
          </w:p>
        </w:tc>
        <w:tc>
          <w:tcPr>
            <w:tcW w:w="2551"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强制性</w:t>
            </w:r>
          </w:p>
        </w:tc>
        <w:tc>
          <w:tcPr>
            <w:tcW w:w="2192"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r w:rsidRPr="009B19E9">
              <w:rPr>
                <w:rFonts w:ascii="宋体" w:hAnsi="宋体" w:hint="eastAsia"/>
                <w:szCs w:val="21"/>
              </w:rPr>
              <w:t xml:space="preserve"> GB/T31106-2014</w:t>
            </w:r>
          </w:p>
        </w:tc>
      </w:tr>
      <w:tr w:rsidR="009870F4" w:rsidRPr="009B19E9" w:rsidTr="0045175B">
        <w:trPr>
          <w:cantSplit/>
          <w:jc w:val="center"/>
        </w:trPr>
        <w:tc>
          <w:tcPr>
            <w:tcW w:w="776" w:type="dxa"/>
          </w:tcPr>
          <w:p w:rsidR="009870F4" w:rsidRPr="009B19E9" w:rsidRDefault="009870F4" w:rsidP="0045175B">
            <w:pPr>
              <w:spacing w:line="276" w:lineRule="auto"/>
              <w:jc w:val="center"/>
              <w:rPr>
                <w:rFonts w:ascii="宋体" w:hAnsi="宋体"/>
                <w:szCs w:val="21"/>
              </w:rPr>
            </w:pPr>
            <w:r w:rsidRPr="009B19E9">
              <w:rPr>
                <w:rFonts w:ascii="宋体" w:hAnsi="宋体" w:hint="eastAsia"/>
                <w:szCs w:val="21"/>
              </w:rPr>
              <w:t>5</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总挥发性有机化合物（TVOC</w:t>
            </w:r>
            <w:r w:rsidRPr="009B19E9">
              <w:rPr>
                <w:rFonts w:ascii="宋体" w:hAnsi="宋体"/>
                <w:szCs w:val="21"/>
              </w:rPr>
              <w:t>）</w:t>
            </w:r>
            <w:r w:rsidRPr="009B19E9">
              <w:rPr>
                <w:rFonts w:ascii="宋体" w:hAnsi="宋体" w:hint="eastAsia"/>
                <w:szCs w:val="21"/>
              </w:rPr>
              <w:t>释放量</w:t>
            </w:r>
          </w:p>
        </w:tc>
        <w:tc>
          <w:tcPr>
            <w:tcW w:w="2551"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p>
        </w:tc>
        <w:tc>
          <w:tcPr>
            <w:tcW w:w="1701" w:type="dxa"/>
            <w:vAlign w:val="center"/>
          </w:tcPr>
          <w:p w:rsidR="009870F4" w:rsidRPr="009B19E9" w:rsidRDefault="009870F4" w:rsidP="0045175B">
            <w:pPr>
              <w:spacing w:line="276" w:lineRule="auto"/>
              <w:rPr>
                <w:rFonts w:ascii="宋体" w:hAnsi="宋体"/>
                <w:szCs w:val="21"/>
              </w:rPr>
            </w:pPr>
            <w:r w:rsidRPr="009B19E9">
              <w:rPr>
                <w:rFonts w:ascii="宋体" w:hAnsi="宋体" w:hint="eastAsia"/>
                <w:szCs w:val="21"/>
              </w:rPr>
              <w:t>强制性</w:t>
            </w:r>
          </w:p>
        </w:tc>
        <w:tc>
          <w:tcPr>
            <w:tcW w:w="2192" w:type="dxa"/>
            <w:vAlign w:val="center"/>
          </w:tcPr>
          <w:p w:rsidR="009870F4" w:rsidRPr="009B19E9" w:rsidRDefault="009870F4" w:rsidP="0045175B">
            <w:pPr>
              <w:spacing w:line="276" w:lineRule="auto"/>
              <w:rPr>
                <w:rFonts w:ascii="宋体" w:hAnsi="宋体"/>
                <w:szCs w:val="21"/>
              </w:rPr>
            </w:pPr>
            <w:r w:rsidRPr="009B19E9">
              <w:rPr>
                <w:rFonts w:ascii="宋体" w:hAnsi="宋体"/>
                <w:szCs w:val="21"/>
              </w:rPr>
              <w:t>SZJG52-2016</w:t>
            </w:r>
            <w:r w:rsidRPr="009B19E9">
              <w:rPr>
                <w:rFonts w:ascii="宋体" w:hAnsi="宋体" w:hint="eastAsia"/>
                <w:szCs w:val="21"/>
              </w:rPr>
              <w:t xml:space="preserve"> GB/T31106-2014</w:t>
            </w:r>
          </w:p>
        </w:tc>
      </w:tr>
    </w:tbl>
    <w:p w:rsidR="009870F4" w:rsidRPr="009B19E9" w:rsidRDefault="009870F4" w:rsidP="009870F4">
      <w:pPr>
        <w:spacing w:line="360" w:lineRule="auto"/>
        <w:rPr>
          <w:rFonts w:ascii="宋体" w:hAnsi="宋体"/>
          <w:szCs w:val="21"/>
        </w:rPr>
      </w:pPr>
      <w:r w:rsidRPr="009B19E9">
        <w:rPr>
          <w:rFonts w:ascii="宋体" w:hAnsi="宋体" w:hint="eastAsia"/>
          <w:szCs w:val="21"/>
        </w:rPr>
        <w:t>（2）含</w:t>
      </w:r>
      <w:r w:rsidRPr="009B19E9">
        <w:rPr>
          <w:rFonts w:ascii="宋体" w:hAnsi="宋体"/>
          <w:szCs w:val="21"/>
        </w:rPr>
        <w:t>家具或装修的功能室应</w:t>
      </w:r>
      <w:r w:rsidRPr="001E1FD7">
        <w:rPr>
          <w:rFonts w:ascii="宋体" w:hAnsi="宋体"/>
          <w:szCs w:val="21"/>
        </w:rPr>
        <w:t>当</w:t>
      </w:r>
      <w:r w:rsidRPr="001E1FD7">
        <w:rPr>
          <w:rFonts w:ascii="宋体" w:hAnsi="宋体"/>
          <w:b/>
          <w:szCs w:val="21"/>
        </w:rPr>
        <w:t>另行</w:t>
      </w:r>
      <w:r w:rsidRPr="001E1FD7">
        <w:rPr>
          <w:rFonts w:ascii="宋体" w:hAnsi="宋体"/>
          <w:szCs w:val="21"/>
        </w:rPr>
        <w:t>提</w:t>
      </w:r>
      <w:r w:rsidRPr="009B19E9">
        <w:rPr>
          <w:rFonts w:ascii="宋体" w:hAnsi="宋体"/>
          <w:szCs w:val="21"/>
        </w:rPr>
        <w:t>供</w:t>
      </w:r>
      <w:r w:rsidRPr="009B19E9">
        <w:rPr>
          <w:rFonts w:ascii="宋体" w:hAnsi="宋体" w:hint="eastAsia"/>
          <w:szCs w:val="21"/>
        </w:rPr>
        <w:t>室内</w:t>
      </w:r>
      <w:r w:rsidRPr="009B19E9">
        <w:rPr>
          <w:rFonts w:ascii="宋体" w:hAnsi="宋体"/>
          <w:szCs w:val="21"/>
        </w:rPr>
        <w:t>环境污染检测</w:t>
      </w:r>
      <w:r w:rsidRPr="009B19E9">
        <w:rPr>
          <w:rFonts w:ascii="宋体" w:hAnsi="宋体" w:hint="eastAsia"/>
          <w:szCs w:val="21"/>
        </w:rPr>
        <w:t>报告。</w:t>
      </w:r>
      <w:r w:rsidRPr="009B19E9">
        <w:rPr>
          <w:rFonts w:ascii="宋体" w:hAnsi="宋体"/>
          <w:szCs w:val="21"/>
        </w:rPr>
        <w:t>按照</w:t>
      </w:r>
      <w:r w:rsidRPr="009B19E9">
        <w:rPr>
          <w:rFonts w:ascii="宋体" w:hAnsi="宋体" w:hint="eastAsia"/>
          <w:szCs w:val="21"/>
        </w:rPr>
        <w:t>国</w:t>
      </w:r>
      <w:r w:rsidRPr="009B19E9">
        <w:rPr>
          <w:rFonts w:ascii="宋体" w:hAnsi="宋体"/>
          <w:szCs w:val="21"/>
        </w:rPr>
        <w:t>家</w:t>
      </w:r>
      <w:r w:rsidRPr="009B19E9">
        <w:rPr>
          <w:rFonts w:ascii="宋体" w:hAnsi="宋体" w:hint="eastAsia"/>
          <w:szCs w:val="21"/>
        </w:rPr>
        <w:t>《室内空气质量</w:t>
      </w:r>
      <w:r w:rsidRPr="009B19E9">
        <w:rPr>
          <w:rFonts w:ascii="宋体" w:hAnsi="宋体"/>
          <w:szCs w:val="21"/>
        </w:rPr>
        <w:t>标准》</w:t>
      </w:r>
      <w:r w:rsidRPr="009B19E9">
        <w:rPr>
          <w:rFonts w:ascii="宋体" w:hAnsi="宋体" w:hint="eastAsia"/>
          <w:szCs w:val="21"/>
        </w:rPr>
        <w:t>（</w:t>
      </w: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r w:rsidRPr="009B19E9">
        <w:rPr>
          <w:rFonts w:ascii="宋体" w:hAnsi="宋体" w:hint="eastAsia"/>
          <w:szCs w:val="21"/>
        </w:rPr>
        <w:t>中的</w:t>
      </w:r>
      <w:r w:rsidRPr="009B19E9">
        <w:rPr>
          <w:rFonts w:ascii="宋体" w:hAnsi="宋体"/>
          <w:szCs w:val="21"/>
        </w:rPr>
        <w:t>标准进行</w:t>
      </w:r>
      <w:r w:rsidRPr="009B19E9">
        <w:rPr>
          <w:rFonts w:ascii="宋体" w:hAnsi="宋体" w:hint="eastAsia"/>
          <w:szCs w:val="21"/>
        </w:rPr>
        <w:t>检测</w:t>
      </w:r>
      <w:r w:rsidRPr="009B19E9">
        <w:rPr>
          <w:rFonts w:ascii="宋体" w:hAnsi="宋体"/>
          <w:szCs w:val="21"/>
        </w:rPr>
        <w:t>并</w:t>
      </w:r>
      <w:r w:rsidRPr="009B19E9">
        <w:rPr>
          <w:rFonts w:ascii="宋体" w:hAnsi="宋体" w:hint="eastAsia"/>
          <w:szCs w:val="21"/>
        </w:rPr>
        <w:t>合格（至少</w:t>
      </w:r>
      <w:r w:rsidRPr="009B19E9">
        <w:rPr>
          <w:rFonts w:ascii="宋体" w:hAnsi="宋体"/>
          <w:szCs w:val="21"/>
        </w:rPr>
        <w:t>包括以下五项</w:t>
      </w:r>
      <w:r w:rsidRPr="009B19E9">
        <w:rPr>
          <w:rFonts w:ascii="宋体" w:hAnsi="宋体" w:hint="eastAsia"/>
          <w:szCs w:val="21"/>
        </w:rPr>
        <w:t>，</w:t>
      </w:r>
      <w:r w:rsidRPr="009B19E9">
        <w:rPr>
          <w:rFonts w:ascii="宋体" w:hAnsi="宋体"/>
          <w:szCs w:val="21"/>
        </w:rPr>
        <w:t>如有</w:t>
      </w:r>
      <w:r w:rsidRPr="009B19E9">
        <w:rPr>
          <w:rFonts w:ascii="宋体" w:hAnsi="宋体" w:hint="eastAsia"/>
          <w:szCs w:val="21"/>
        </w:rPr>
        <w:t>更新</w:t>
      </w:r>
      <w:r w:rsidRPr="009B19E9">
        <w:rPr>
          <w:rFonts w:ascii="宋体" w:hAnsi="宋体"/>
          <w:szCs w:val="21"/>
        </w:rPr>
        <w:t>则以最新标准为准）：</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3686"/>
        <w:gridCol w:w="3019"/>
      </w:tblGrid>
      <w:tr w:rsidR="009870F4" w:rsidRPr="009B19E9" w:rsidTr="0045175B">
        <w:trPr>
          <w:cantSplit/>
          <w:trHeight w:val="204"/>
          <w:tblHeader/>
          <w:jc w:val="center"/>
        </w:trPr>
        <w:tc>
          <w:tcPr>
            <w:tcW w:w="1037"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序号</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检验项目</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依据法律法规或标准条款</w:t>
            </w:r>
          </w:p>
        </w:tc>
      </w:tr>
      <w:tr w:rsidR="009870F4" w:rsidRPr="009B19E9" w:rsidTr="0045175B">
        <w:trPr>
          <w:cantSplit/>
          <w:jc w:val="center"/>
        </w:trPr>
        <w:tc>
          <w:tcPr>
            <w:tcW w:w="1037" w:type="dxa"/>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1</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甲醛</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p>
        </w:tc>
      </w:tr>
      <w:tr w:rsidR="009870F4" w:rsidRPr="009B19E9" w:rsidTr="0045175B">
        <w:trPr>
          <w:cantSplit/>
          <w:jc w:val="center"/>
        </w:trPr>
        <w:tc>
          <w:tcPr>
            <w:tcW w:w="1037" w:type="dxa"/>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lastRenderedPageBreak/>
              <w:t>2</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苯</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p>
        </w:tc>
      </w:tr>
      <w:tr w:rsidR="009870F4" w:rsidRPr="009B19E9" w:rsidTr="0045175B">
        <w:trPr>
          <w:cantSplit/>
          <w:jc w:val="center"/>
        </w:trPr>
        <w:tc>
          <w:tcPr>
            <w:tcW w:w="1037" w:type="dxa"/>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3</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甲苯</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p>
        </w:tc>
      </w:tr>
      <w:tr w:rsidR="009870F4" w:rsidRPr="009B19E9" w:rsidTr="0045175B">
        <w:trPr>
          <w:cantSplit/>
          <w:jc w:val="center"/>
        </w:trPr>
        <w:tc>
          <w:tcPr>
            <w:tcW w:w="1037" w:type="dxa"/>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4</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二甲苯</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p>
        </w:tc>
      </w:tr>
      <w:tr w:rsidR="009870F4" w:rsidRPr="009B19E9" w:rsidTr="0045175B">
        <w:trPr>
          <w:cantSplit/>
          <w:jc w:val="center"/>
        </w:trPr>
        <w:tc>
          <w:tcPr>
            <w:tcW w:w="1037" w:type="dxa"/>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5</w:t>
            </w:r>
          </w:p>
        </w:tc>
        <w:tc>
          <w:tcPr>
            <w:tcW w:w="3686"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hint="eastAsia"/>
                <w:szCs w:val="21"/>
              </w:rPr>
              <w:t>总挥发性有机化合物（TVOC</w:t>
            </w:r>
            <w:r w:rsidRPr="009B19E9">
              <w:rPr>
                <w:rFonts w:ascii="宋体" w:hAnsi="宋体"/>
                <w:szCs w:val="21"/>
              </w:rPr>
              <w:t>）</w:t>
            </w:r>
          </w:p>
        </w:tc>
        <w:tc>
          <w:tcPr>
            <w:tcW w:w="3019" w:type="dxa"/>
            <w:vAlign w:val="center"/>
          </w:tcPr>
          <w:p w:rsidR="009870F4" w:rsidRPr="009B19E9" w:rsidRDefault="009870F4" w:rsidP="0045175B">
            <w:pPr>
              <w:spacing w:line="360" w:lineRule="auto"/>
              <w:jc w:val="center"/>
              <w:rPr>
                <w:rFonts w:ascii="宋体" w:hAnsi="宋体"/>
                <w:szCs w:val="21"/>
              </w:rPr>
            </w:pPr>
            <w:r w:rsidRPr="009B19E9">
              <w:rPr>
                <w:rFonts w:ascii="宋体" w:hAnsi="宋体"/>
                <w:szCs w:val="21"/>
              </w:rPr>
              <w:t>GB</w:t>
            </w:r>
            <w:r w:rsidRPr="009B19E9">
              <w:rPr>
                <w:rFonts w:ascii="宋体" w:hAnsi="宋体" w:hint="eastAsia"/>
                <w:szCs w:val="21"/>
              </w:rPr>
              <w:t>/</w:t>
            </w:r>
            <w:r w:rsidRPr="009B19E9">
              <w:rPr>
                <w:rFonts w:ascii="宋体" w:hAnsi="宋体"/>
                <w:szCs w:val="21"/>
              </w:rPr>
              <w:t>T 18883-2002</w:t>
            </w:r>
          </w:p>
        </w:tc>
      </w:tr>
    </w:tbl>
    <w:p w:rsidR="009870F4" w:rsidRDefault="009870F4" w:rsidP="009870F4">
      <w:pPr>
        <w:spacing w:line="360" w:lineRule="auto"/>
        <w:rPr>
          <w:rFonts w:ascii="新宋体" w:eastAsia="新宋体" w:hAnsi="新宋体" w:cs="宋体"/>
          <w:szCs w:val="21"/>
        </w:rPr>
      </w:pPr>
    </w:p>
    <w:p w:rsidR="009870F4" w:rsidRPr="00D440BA" w:rsidRDefault="009870F4" w:rsidP="009870F4">
      <w:pPr>
        <w:spacing w:line="360" w:lineRule="auto"/>
        <w:rPr>
          <w:rFonts w:ascii="新宋体" w:eastAsia="新宋体" w:hAnsi="新宋体" w:cs="宋体"/>
          <w:color w:val="FF0000"/>
          <w:szCs w:val="21"/>
        </w:rPr>
      </w:pPr>
      <w:r w:rsidRPr="00D440BA">
        <w:rPr>
          <w:rFonts w:ascii="新宋体" w:eastAsia="新宋体" w:hAnsi="新宋体" w:cs="宋体" w:hint="eastAsia"/>
          <w:color w:val="FF0000"/>
          <w:szCs w:val="21"/>
        </w:rPr>
        <w:t>13.送货时间要求：按照学校要求送货。  （紧急情况响应：及时响应学校紧急采购需求。）</w:t>
      </w:r>
    </w:p>
    <w:p w:rsidR="009870F4" w:rsidRPr="00E77E93" w:rsidRDefault="009870F4" w:rsidP="009870F4">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870F4" w:rsidRPr="00E77E93" w:rsidRDefault="009870F4" w:rsidP="009870F4">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853A4" w:rsidRPr="009870F4" w:rsidRDefault="007853A4" w:rsidP="009870F4">
      <w:bookmarkStart w:id="2" w:name="_GoBack"/>
      <w:bookmarkEnd w:id="2"/>
    </w:p>
    <w:sectPr w:rsidR="007853A4" w:rsidRPr="00987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 w:val="009870F4"/>
    <w:rsid w:val="00CE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229E"/>
  <w15:docId w15:val="{3885397B-4B18-49EB-8E8A-5108C00C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D17"/>
    <w:rPr>
      <w:sz w:val="18"/>
      <w:szCs w:val="18"/>
    </w:rPr>
  </w:style>
  <w:style w:type="paragraph" w:styleId="a5">
    <w:name w:val="footer"/>
    <w:basedOn w:val="a"/>
    <w:link w:val="a6"/>
    <w:uiPriority w:val="99"/>
    <w:unhideWhenUsed/>
    <w:rsid w:val="00255D17"/>
    <w:pPr>
      <w:tabs>
        <w:tab w:val="center" w:pos="4153"/>
        <w:tab w:val="right" w:pos="8306"/>
      </w:tabs>
      <w:snapToGrid w:val="0"/>
      <w:jc w:val="left"/>
    </w:pPr>
    <w:rPr>
      <w:sz w:val="18"/>
      <w:szCs w:val="18"/>
    </w:rPr>
  </w:style>
  <w:style w:type="character" w:customStyle="1" w:styleId="a6">
    <w:name w:val="页脚 字符"/>
    <w:basedOn w:val="a0"/>
    <w:link w:val="a5"/>
    <w:uiPriority w:val="99"/>
    <w:rsid w:val="00255D17"/>
    <w:rPr>
      <w:sz w:val="18"/>
      <w:szCs w:val="18"/>
    </w:rPr>
  </w:style>
  <w:style w:type="paragraph" w:styleId="a7">
    <w:name w:val="List Paragraph"/>
    <w:basedOn w:val="a"/>
    <w:qFormat/>
    <w:rsid w:val="00255D1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王飞</cp:lastModifiedBy>
  <cp:revision>4</cp:revision>
  <dcterms:created xsi:type="dcterms:W3CDTF">2021-01-25T09:33:00Z</dcterms:created>
  <dcterms:modified xsi:type="dcterms:W3CDTF">2021-03-05T08:01:00Z</dcterms:modified>
</cp:coreProperties>
</file>