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AD6" w:rsidRDefault="00E12AD6" w:rsidP="00E12AD6">
      <w:pPr>
        <w:pStyle w:val="2"/>
        <w:rPr>
          <w:rFonts w:ascii="新宋体" w:eastAsia="新宋体" w:hAnsi="新宋体" w:hint="eastAsia"/>
          <w:kern w:val="44"/>
          <w:sz w:val="30"/>
          <w:szCs w:val="30"/>
        </w:rPr>
      </w:pPr>
      <w:r>
        <w:rPr>
          <w:rFonts w:ascii="新宋体" w:eastAsia="新宋体" w:hAnsi="新宋体" w:hint="eastAsia"/>
          <w:kern w:val="44"/>
          <w:sz w:val="30"/>
          <w:szCs w:val="30"/>
        </w:rPr>
        <w:t>招标项目需求</w:t>
      </w:r>
    </w:p>
    <w:p w:rsidR="00E12AD6" w:rsidRDefault="00E12AD6" w:rsidP="00E12AD6">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1889"/>
        <w:gridCol w:w="5837"/>
      </w:tblGrid>
      <w:tr w:rsidR="00E12AD6" w:rsidTr="00272C4E">
        <w:trPr>
          <w:cantSplit/>
          <w:trHeight w:val="20"/>
          <w:jc w:val="center"/>
        </w:trPr>
        <w:tc>
          <w:tcPr>
            <w:tcW w:w="827" w:type="dxa"/>
            <w:vAlign w:val="center"/>
          </w:tcPr>
          <w:p w:rsidR="00E12AD6" w:rsidRDefault="00E12AD6" w:rsidP="00272C4E">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E12AD6" w:rsidRDefault="00E12AD6" w:rsidP="00272C4E">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E12AD6" w:rsidRDefault="00E12AD6" w:rsidP="00272C4E">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E12AD6" w:rsidTr="00272C4E">
        <w:trPr>
          <w:cantSplit/>
          <w:trHeight w:val="20"/>
          <w:jc w:val="center"/>
        </w:trPr>
        <w:tc>
          <w:tcPr>
            <w:tcW w:w="827" w:type="dxa"/>
            <w:vAlign w:val="center"/>
          </w:tcPr>
          <w:p w:rsidR="00E12AD6" w:rsidRDefault="00E12AD6" w:rsidP="00272C4E">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E12AD6" w:rsidRDefault="00E12AD6" w:rsidP="00272C4E">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E12AD6" w:rsidTr="00272C4E">
        <w:trPr>
          <w:cantSplit/>
          <w:trHeight w:val="20"/>
          <w:jc w:val="center"/>
        </w:trPr>
        <w:tc>
          <w:tcPr>
            <w:tcW w:w="827" w:type="dxa"/>
            <w:vAlign w:val="center"/>
          </w:tcPr>
          <w:p w:rsidR="00E12AD6" w:rsidRDefault="00E12AD6" w:rsidP="00272C4E">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E12AD6" w:rsidTr="00272C4E">
        <w:trPr>
          <w:cantSplit/>
          <w:trHeight w:val="20"/>
          <w:jc w:val="center"/>
        </w:trPr>
        <w:tc>
          <w:tcPr>
            <w:tcW w:w="827" w:type="dxa"/>
            <w:vAlign w:val="center"/>
          </w:tcPr>
          <w:p w:rsidR="00E12AD6" w:rsidRDefault="00E12AD6" w:rsidP="00272C4E">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不允许</w:t>
            </w:r>
          </w:p>
        </w:tc>
      </w:tr>
      <w:tr w:rsidR="00E12AD6" w:rsidTr="00272C4E">
        <w:trPr>
          <w:cantSplit/>
          <w:trHeight w:val="20"/>
          <w:jc w:val="center"/>
        </w:trPr>
        <w:tc>
          <w:tcPr>
            <w:tcW w:w="827" w:type="dxa"/>
            <w:vAlign w:val="center"/>
          </w:tcPr>
          <w:p w:rsidR="00E12AD6" w:rsidRDefault="00E12AD6" w:rsidP="00272C4E">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谈判文件的要求提交纸质文件正本1份、副本4份、电子文件1份（WORD和PDF格式电子文档各1份）电子文档要求U盘或刻录光盘，PDF格式有签字盖章，不留密码，无病毒，不压缩，密封提交），所有谈判应答文件应于递交截止时间之前送达谈判文件规定的地址</w:t>
            </w:r>
            <w:r>
              <w:rPr>
                <w:rFonts w:ascii="新宋体" w:eastAsia="新宋体" w:hAnsi="新宋体"/>
                <w:snapToGrid w:val="0"/>
                <w:szCs w:val="21"/>
                <w:lang w:val="zh-CN"/>
              </w:rPr>
              <w:t>。</w:t>
            </w:r>
          </w:p>
        </w:tc>
      </w:tr>
      <w:tr w:rsidR="00E12AD6" w:rsidTr="00272C4E">
        <w:trPr>
          <w:cantSplit/>
          <w:trHeight w:val="20"/>
          <w:jc w:val="center"/>
        </w:trPr>
        <w:tc>
          <w:tcPr>
            <w:tcW w:w="827" w:type="dxa"/>
            <w:vAlign w:val="center"/>
          </w:tcPr>
          <w:p w:rsidR="00E12AD6" w:rsidRDefault="00E12AD6" w:rsidP="00272C4E">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 xml:space="preserve">_0万元或合同金额的 </w:t>
            </w:r>
            <w:r>
              <w:rPr>
                <w:rFonts w:ascii="新宋体" w:eastAsia="新宋体" w:hAnsi="新宋体" w:hint="eastAsia"/>
                <w:u w:val="single"/>
              </w:rPr>
              <w:t>5</w:t>
            </w:r>
            <w:r>
              <w:rPr>
                <w:rFonts w:ascii="新宋体" w:eastAsia="新宋体" w:hAnsi="新宋体" w:hint="eastAsia"/>
              </w:rPr>
              <w:t>%，缴纳方式：银行保函或履约保证金</w:t>
            </w:r>
          </w:p>
        </w:tc>
      </w:tr>
      <w:tr w:rsidR="00E12AD6" w:rsidTr="00272C4E">
        <w:trPr>
          <w:cantSplit/>
          <w:trHeight w:val="20"/>
          <w:jc w:val="center"/>
        </w:trPr>
        <w:tc>
          <w:tcPr>
            <w:tcW w:w="827" w:type="dxa"/>
            <w:vAlign w:val="center"/>
          </w:tcPr>
          <w:p w:rsidR="00E12AD6" w:rsidRDefault="00E12AD6" w:rsidP="00272C4E">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E12AD6" w:rsidRDefault="00E12AD6" w:rsidP="00272C4E">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E12AD6" w:rsidRDefault="00E12AD6" w:rsidP="00E12AD6">
      <w:pPr>
        <w:spacing w:line="276" w:lineRule="auto"/>
        <w:rPr>
          <w:b/>
        </w:rPr>
      </w:pPr>
      <w:r>
        <w:rPr>
          <w:rFonts w:ascii="新宋体" w:eastAsia="新宋体" w:hAnsi="新宋体" w:hint="eastAsia"/>
          <w:szCs w:val="21"/>
        </w:rPr>
        <w:t>备注：本表为通用条款相关内容的补充和明确，如与通用条款相冲突的以本表为</w:t>
      </w:r>
      <w:r>
        <w:rPr>
          <w:rFonts w:hint="eastAsia"/>
          <w:szCs w:val="21"/>
        </w:rPr>
        <w:t>准。</w:t>
      </w:r>
    </w:p>
    <w:p w:rsidR="00E12AD6" w:rsidRDefault="00E12AD6" w:rsidP="00E12AD6">
      <w:pPr>
        <w:rPr>
          <w:b/>
        </w:rPr>
      </w:pPr>
    </w:p>
    <w:p w:rsidR="00E12AD6" w:rsidRDefault="00E12AD6" w:rsidP="00E12AD6">
      <w:pPr>
        <w:pStyle w:val="3"/>
        <w:rPr>
          <w:rFonts w:ascii="新宋体" w:eastAsia="新宋体" w:hAnsi="新宋体"/>
          <w:kern w:val="44"/>
          <w:szCs w:val="28"/>
        </w:rPr>
      </w:pPr>
      <w:r>
        <w:rPr>
          <w:rFonts w:ascii="新宋体" w:eastAsia="新宋体" w:hAnsi="新宋体" w:hint="eastAsia"/>
          <w:kern w:val="44"/>
          <w:szCs w:val="28"/>
        </w:rPr>
        <w:t>二、实质性条款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8080"/>
      </w:tblGrid>
      <w:tr w:rsidR="00E12AD6" w:rsidTr="00272C4E">
        <w:tc>
          <w:tcPr>
            <w:tcW w:w="851" w:type="dxa"/>
          </w:tcPr>
          <w:p w:rsidR="00E12AD6" w:rsidRDefault="00E12AD6" w:rsidP="00272C4E">
            <w:pPr>
              <w:adjustRightInd w:val="0"/>
              <w:snapToGrid w:val="0"/>
              <w:spacing w:line="276" w:lineRule="auto"/>
              <w:jc w:val="center"/>
              <w:rPr>
                <w:rFonts w:ascii="宋体" w:hAnsi="宋体"/>
                <w:kern w:val="0"/>
                <w:szCs w:val="21"/>
              </w:rPr>
            </w:pPr>
            <w:r>
              <w:rPr>
                <w:rFonts w:ascii="宋体" w:hAnsi="宋体" w:hint="eastAsia"/>
                <w:kern w:val="0"/>
                <w:szCs w:val="21"/>
              </w:rPr>
              <w:t>序号</w:t>
            </w:r>
          </w:p>
        </w:tc>
        <w:tc>
          <w:tcPr>
            <w:tcW w:w="8080" w:type="dxa"/>
          </w:tcPr>
          <w:p w:rsidR="00E12AD6" w:rsidRDefault="00E12AD6" w:rsidP="00272C4E">
            <w:pPr>
              <w:adjustRightInd w:val="0"/>
              <w:snapToGrid w:val="0"/>
              <w:spacing w:line="276" w:lineRule="auto"/>
              <w:jc w:val="center"/>
              <w:rPr>
                <w:rFonts w:ascii="宋体" w:hAnsi="宋体"/>
                <w:kern w:val="0"/>
                <w:szCs w:val="21"/>
              </w:rPr>
            </w:pPr>
            <w:r>
              <w:rPr>
                <w:rFonts w:ascii="宋体" w:hAnsi="宋体" w:hint="eastAsia"/>
                <w:kern w:val="0"/>
                <w:szCs w:val="21"/>
              </w:rPr>
              <w:t>具体内容</w:t>
            </w:r>
          </w:p>
        </w:tc>
      </w:tr>
      <w:tr w:rsidR="00E12AD6" w:rsidTr="00272C4E">
        <w:tc>
          <w:tcPr>
            <w:tcW w:w="851" w:type="dxa"/>
          </w:tcPr>
          <w:p w:rsidR="00E12AD6" w:rsidRDefault="00E12AD6" w:rsidP="00272C4E">
            <w:pPr>
              <w:adjustRightInd w:val="0"/>
              <w:snapToGrid w:val="0"/>
              <w:spacing w:line="276" w:lineRule="auto"/>
              <w:jc w:val="center"/>
              <w:rPr>
                <w:rFonts w:ascii="宋体" w:hAnsi="宋体"/>
                <w:kern w:val="0"/>
                <w:szCs w:val="21"/>
              </w:rPr>
            </w:pPr>
            <w:r>
              <w:rPr>
                <w:rFonts w:ascii="宋体" w:hAnsi="宋体" w:hint="eastAsia"/>
                <w:kern w:val="0"/>
                <w:szCs w:val="21"/>
              </w:rPr>
              <w:t>1</w:t>
            </w:r>
          </w:p>
        </w:tc>
        <w:tc>
          <w:tcPr>
            <w:tcW w:w="8080" w:type="dxa"/>
          </w:tcPr>
          <w:p w:rsidR="00E12AD6" w:rsidRDefault="00E12AD6" w:rsidP="00272C4E">
            <w:pPr>
              <w:adjustRightInd w:val="0"/>
              <w:snapToGrid w:val="0"/>
              <w:spacing w:line="276" w:lineRule="auto"/>
              <w:jc w:val="center"/>
              <w:rPr>
                <w:rFonts w:hAnsi="宋体"/>
                <w:kern w:val="0"/>
                <w:szCs w:val="21"/>
              </w:rPr>
            </w:pPr>
            <w:r>
              <w:rPr>
                <w:rFonts w:hAnsi="宋体" w:hint="eastAsia"/>
                <w:kern w:val="0"/>
                <w:szCs w:val="21"/>
              </w:rPr>
              <w:t>完全满足本项目工期的要求。</w:t>
            </w:r>
          </w:p>
        </w:tc>
      </w:tr>
      <w:tr w:rsidR="00E12AD6" w:rsidTr="00272C4E">
        <w:tc>
          <w:tcPr>
            <w:tcW w:w="851" w:type="dxa"/>
          </w:tcPr>
          <w:p w:rsidR="00E12AD6" w:rsidRDefault="00E12AD6" w:rsidP="00272C4E">
            <w:pPr>
              <w:adjustRightInd w:val="0"/>
              <w:snapToGrid w:val="0"/>
              <w:spacing w:line="276" w:lineRule="auto"/>
              <w:jc w:val="center"/>
              <w:rPr>
                <w:rFonts w:ascii="宋体" w:hAnsi="宋体"/>
                <w:kern w:val="0"/>
                <w:szCs w:val="21"/>
              </w:rPr>
            </w:pPr>
            <w:r>
              <w:rPr>
                <w:rFonts w:ascii="宋体" w:hAnsi="宋体" w:hint="eastAsia"/>
                <w:kern w:val="0"/>
                <w:szCs w:val="21"/>
              </w:rPr>
              <w:t>2</w:t>
            </w:r>
          </w:p>
        </w:tc>
        <w:tc>
          <w:tcPr>
            <w:tcW w:w="8080" w:type="dxa"/>
          </w:tcPr>
          <w:p w:rsidR="00E12AD6" w:rsidRDefault="00E12AD6" w:rsidP="00272C4E">
            <w:pPr>
              <w:adjustRightInd w:val="0"/>
              <w:snapToGrid w:val="0"/>
              <w:spacing w:line="276" w:lineRule="auto"/>
              <w:jc w:val="center"/>
              <w:rPr>
                <w:rFonts w:hAnsi="宋体"/>
                <w:kern w:val="0"/>
                <w:szCs w:val="21"/>
              </w:rPr>
            </w:pPr>
          </w:p>
        </w:tc>
      </w:tr>
      <w:tr w:rsidR="00E12AD6" w:rsidTr="00272C4E">
        <w:tc>
          <w:tcPr>
            <w:tcW w:w="851" w:type="dxa"/>
          </w:tcPr>
          <w:p w:rsidR="00E12AD6" w:rsidRDefault="00E12AD6" w:rsidP="00272C4E">
            <w:pPr>
              <w:adjustRightInd w:val="0"/>
              <w:snapToGrid w:val="0"/>
              <w:spacing w:line="276" w:lineRule="auto"/>
              <w:jc w:val="center"/>
              <w:rPr>
                <w:rFonts w:ascii="宋体" w:hAnsi="宋体"/>
                <w:kern w:val="0"/>
                <w:szCs w:val="21"/>
              </w:rPr>
            </w:pPr>
            <w:r>
              <w:rPr>
                <w:rFonts w:ascii="宋体" w:hAnsi="宋体" w:hint="eastAsia"/>
                <w:kern w:val="0"/>
                <w:szCs w:val="21"/>
              </w:rPr>
              <w:t>……</w:t>
            </w:r>
          </w:p>
        </w:tc>
        <w:tc>
          <w:tcPr>
            <w:tcW w:w="8080" w:type="dxa"/>
          </w:tcPr>
          <w:p w:rsidR="00E12AD6" w:rsidRDefault="00E12AD6" w:rsidP="00272C4E">
            <w:pPr>
              <w:adjustRightInd w:val="0"/>
              <w:snapToGrid w:val="0"/>
              <w:spacing w:line="276" w:lineRule="auto"/>
              <w:jc w:val="center"/>
              <w:rPr>
                <w:rFonts w:hAnsi="宋体"/>
                <w:kern w:val="0"/>
                <w:szCs w:val="21"/>
              </w:rPr>
            </w:pPr>
          </w:p>
        </w:tc>
      </w:tr>
    </w:tbl>
    <w:p w:rsidR="00E12AD6" w:rsidRDefault="00E12AD6" w:rsidP="00E12AD6">
      <w:r>
        <w:rPr>
          <w:rFonts w:hint="eastAsia"/>
        </w:rPr>
        <w:t>注：上表所列内容为不可负偏离条款</w:t>
      </w:r>
    </w:p>
    <w:p w:rsidR="00E12AD6" w:rsidRDefault="00E12AD6" w:rsidP="00E12AD6">
      <w:pPr>
        <w:adjustRightInd w:val="0"/>
        <w:snapToGrid w:val="0"/>
        <w:spacing w:line="360" w:lineRule="auto"/>
        <w:ind w:firstLineChars="200" w:firstLine="420"/>
        <w:rPr>
          <w:rFonts w:hint="eastAsia"/>
        </w:rPr>
      </w:pP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t>三、招标项目概况</w:t>
      </w:r>
    </w:p>
    <w:p w:rsidR="00E12AD6" w:rsidRDefault="00E12AD6" w:rsidP="00E12AD6">
      <w:pPr>
        <w:spacing w:line="360" w:lineRule="auto"/>
        <w:rPr>
          <w:rFonts w:ascii="新宋体" w:eastAsia="新宋体" w:hAnsi="新宋体" w:hint="eastAsia"/>
        </w:rPr>
      </w:pPr>
      <w:r>
        <w:rPr>
          <w:rFonts w:ascii="新宋体" w:eastAsia="新宋体" w:hAnsi="新宋体" w:hint="eastAsia"/>
        </w:rPr>
        <w:t xml:space="preserve">1、项目概况: </w:t>
      </w:r>
      <w:r w:rsidR="00FA5F1B" w:rsidRPr="00FA5F1B">
        <w:rPr>
          <w:rFonts w:ascii="新宋体" w:eastAsia="新宋体" w:hAnsi="新宋体" w:hint="eastAsia"/>
        </w:rPr>
        <w:t>本项目为深圳市人民检察院安防监控中心扩建项目，内容包括但不限于：土建部分、设备采购部分，具体详见施工图纸、工程量清单</w:t>
      </w:r>
      <w:r w:rsidR="00FA5F1B">
        <w:rPr>
          <w:rFonts w:ascii="新宋体" w:eastAsia="新宋体" w:hAnsi="新宋体" w:hint="eastAsia"/>
        </w:rPr>
        <w:t>。</w:t>
      </w:r>
      <w:bookmarkStart w:id="1" w:name="_GoBack"/>
      <w:bookmarkEnd w:id="1"/>
    </w:p>
    <w:p w:rsidR="00E12AD6" w:rsidRDefault="00E12AD6" w:rsidP="00E12AD6">
      <w:pPr>
        <w:spacing w:line="360" w:lineRule="auto"/>
        <w:rPr>
          <w:rFonts w:ascii="新宋体" w:eastAsia="新宋体" w:hAnsi="新宋体" w:hint="eastAsia"/>
        </w:rPr>
      </w:pPr>
      <w:r>
        <w:rPr>
          <w:rFonts w:ascii="新宋体" w:eastAsia="新宋体" w:hAnsi="新宋体" w:hint="eastAsia"/>
        </w:rPr>
        <w:lastRenderedPageBreak/>
        <w:t>2、</w:t>
      </w:r>
      <w:r>
        <w:rPr>
          <w:rFonts w:ascii="新宋体" w:eastAsia="新宋体" w:hAnsi="新宋体"/>
        </w:rPr>
        <w:t>预算</w:t>
      </w:r>
      <w:r>
        <w:rPr>
          <w:rFonts w:ascii="新宋体" w:eastAsia="新宋体" w:hAnsi="新宋体" w:hint="eastAsia"/>
        </w:rPr>
        <w:t xml:space="preserve">金额: </w:t>
      </w:r>
      <w:r>
        <w:rPr>
          <w:rFonts w:ascii="新宋体" w:eastAsia="新宋体" w:hAnsi="新宋体" w:hint="eastAsia"/>
          <w:u w:val="single"/>
        </w:rPr>
        <w:t>人民币700,000.00元</w:t>
      </w:r>
      <w:r>
        <w:rPr>
          <w:rFonts w:ascii="新宋体" w:eastAsia="新宋体" w:hAnsi="新宋体" w:hint="eastAsia"/>
        </w:rPr>
        <w:t>，</w:t>
      </w:r>
      <w:r>
        <w:rPr>
          <w:rFonts w:ascii="新宋体" w:eastAsia="新宋体" w:hAnsi="新宋体"/>
        </w:rPr>
        <w:t>最高投标限价</w:t>
      </w:r>
      <w:r>
        <w:rPr>
          <w:rFonts w:ascii="新宋体" w:eastAsia="新宋体" w:hAnsi="新宋体" w:hint="eastAsia"/>
        </w:rPr>
        <w:t>:</w:t>
      </w:r>
      <w:r>
        <w:rPr>
          <w:rFonts w:ascii="新宋体" w:eastAsia="新宋体" w:hAnsi="新宋体" w:hint="eastAsia"/>
          <w:u w:val="single"/>
        </w:rPr>
        <w:t xml:space="preserve"> 人民币700,000.00元 </w:t>
      </w:r>
      <w:r>
        <w:rPr>
          <w:rFonts w:ascii="新宋体" w:eastAsia="新宋体" w:hAnsi="新宋体" w:hint="eastAsia"/>
        </w:rPr>
        <w:t xml:space="preserve">                    </w:t>
      </w:r>
    </w:p>
    <w:p w:rsidR="00E12AD6" w:rsidRDefault="00E12AD6" w:rsidP="00E12AD6">
      <w:pPr>
        <w:spacing w:line="360" w:lineRule="auto"/>
        <w:rPr>
          <w:rFonts w:ascii="新宋体" w:eastAsia="新宋体" w:hAnsi="新宋体" w:hint="eastAsia"/>
        </w:rPr>
      </w:pPr>
      <w:r>
        <w:rPr>
          <w:rFonts w:ascii="新宋体" w:eastAsia="新宋体" w:hAnsi="新宋体" w:hint="eastAsia"/>
        </w:rPr>
        <w:t xml:space="preserve">3、项目实施地点：深圳市人民检察院                      </w:t>
      </w:r>
    </w:p>
    <w:p w:rsidR="00E12AD6" w:rsidRDefault="00E12AD6" w:rsidP="00E12AD6">
      <w:pPr>
        <w:spacing w:line="360" w:lineRule="auto"/>
        <w:rPr>
          <w:rFonts w:ascii="新宋体" w:eastAsia="新宋体" w:hAnsi="新宋体" w:hint="eastAsia"/>
          <w:kern w:val="0"/>
        </w:rPr>
      </w:pPr>
      <w:r>
        <w:rPr>
          <w:rFonts w:ascii="新宋体" w:eastAsia="新宋体" w:hAnsi="新宋体" w:hint="eastAsia"/>
        </w:rPr>
        <w:t>4、项目</w:t>
      </w:r>
      <w:r>
        <w:rPr>
          <w:rFonts w:ascii="新宋体" w:eastAsia="新宋体" w:hAnsi="新宋体" w:hint="eastAsia"/>
          <w:kern w:val="0"/>
        </w:rPr>
        <w:t>工期要求：</w:t>
      </w:r>
      <w:r>
        <w:rPr>
          <w:rFonts w:ascii="新宋体" w:eastAsia="新宋体" w:hAnsi="新宋体" w:hint="eastAsia"/>
        </w:rPr>
        <w:t>合同签订后</w:t>
      </w:r>
      <w:r>
        <w:rPr>
          <w:rFonts w:ascii="新宋体" w:eastAsia="新宋体" w:hAnsi="新宋体" w:hint="eastAsia"/>
          <w:b/>
          <w:u w:val="single"/>
        </w:rPr>
        <w:t xml:space="preserve">60 </w:t>
      </w:r>
      <w:proofErr w:type="gramStart"/>
      <w:r>
        <w:rPr>
          <w:rFonts w:ascii="新宋体" w:eastAsia="新宋体" w:hAnsi="新宋体" w:hint="eastAsia"/>
          <w:b/>
        </w:rPr>
        <w:t>个</w:t>
      </w:r>
      <w:proofErr w:type="gramEnd"/>
      <w:r>
        <w:rPr>
          <w:rFonts w:ascii="新宋体" w:eastAsia="新宋体" w:hAnsi="新宋体" w:hint="eastAsia"/>
          <w:b/>
        </w:rPr>
        <w:t>日历天</w:t>
      </w:r>
      <w:r>
        <w:rPr>
          <w:rFonts w:ascii="新宋体" w:eastAsia="新宋体" w:hAnsi="新宋体" w:hint="eastAsia"/>
        </w:rPr>
        <w:t>；</w:t>
      </w:r>
    </w:p>
    <w:p w:rsidR="00E12AD6" w:rsidRDefault="00E12AD6" w:rsidP="00E12AD6">
      <w:pPr>
        <w:spacing w:line="360" w:lineRule="auto"/>
        <w:rPr>
          <w:rFonts w:ascii="新宋体" w:eastAsia="新宋体" w:hAnsi="新宋体" w:hint="eastAsia"/>
        </w:rPr>
      </w:pPr>
      <w:r>
        <w:rPr>
          <w:rFonts w:ascii="新宋体" w:eastAsia="新宋体" w:hAnsi="新宋体" w:hint="eastAsia"/>
        </w:rPr>
        <w:t>5、合同方式：</w:t>
      </w:r>
    </w:p>
    <w:p w:rsidR="00E12AD6" w:rsidRDefault="00E12AD6" w:rsidP="00E12AD6">
      <w:pPr>
        <w:spacing w:line="360" w:lineRule="auto"/>
        <w:rPr>
          <w:rFonts w:ascii="新宋体" w:eastAsia="新宋体" w:hAnsi="新宋体" w:hint="eastAsia"/>
        </w:rPr>
      </w:pPr>
      <w:r>
        <w:rPr>
          <w:rFonts w:ascii="新宋体" w:eastAsia="新宋体" w:hAnsi="新宋体" w:hint="eastAsia"/>
        </w:rPr>
        <w:t xml:space="preserve">（1）固定单价合同，工程结算时，项目单价不做调整，按实际完成的工程量结算； </w:t>
      </w:r>
    </w:p>
    <w:p w:rsidR="00E12AD6" w:rsidRDefault="00E12AD6" w:rsidP="00E12AD6">
      <w:pPr>
        <w:spacing w:line="360" w:lineRule="auto"/>
        <w:rPr>
          <w:rFonts w:ascii="新宋体" w:eastAsia="新宋体" w:hAnsi="新宋体" w:hint="eastAsia"/>
        </w:rPr>
      </w:pPr>
      <w:r>
        <w:rPr>
          <w:rFonts w:ascii="新宋体" w:eastAsia="新宋体" w:hAnsi="新宋体" w:hint="eastAsia"/>
        </w:rPr>
        <w:t>（2）固定总价合同，工程结算时，结算不做调整；</w:t>
      </w:r>
    </w:p>
    <w:p w:rsidR="00E12AD6" w:rsidRDefault="00E12AD6" w:rsidP="00E12AD6">
      <w:pPr>
        <w:spacing w:line="360" w:lineRule="auto"/>
        <w:rPr>
          <w:rFonts w:ascii="新宋体" w:eastAsia="新宋体" w:hAnsi="新宋体" w:hint="eastAsia"/>
        </w:rPr>
      </w:pPr>
      <w:r>
        <w:rPr>
          <w:rFonts w:ascii="新宋体" w:eastAsia="新宋体" w:hAnsi="新宋体" w:hint="eastAsia"/>
        </w:rPr>
        <w:t>本项目选用方式</w:t>
      </w:r>
      <w:r>
        <w:rPr>
          <w:rFonts w:ascii="新宋体" w:eastAsia="新宋体" w:hAnsi="新宋体"/>
          <w:u w:val="single"/>
        </w:rPr>
        <w:t>1</w:t>
      </w:r>
      <w:r>
        <w:rPr>
          <w:rFonts w:ascii="新宋体" w:eastAsia="新宋体" w:hAnsi="新宋体" w:hint="eastAsia"/>
        </w:rPr>
        <w:t>。</w:t>
      </w:r>
    </w:p>
    <w:p w:rsidR="00E12AD6" w:rsidRDefault="00E12AD6" w:rsidP="00E12AD6">
      <w:pPr>
        <w:rPr>
          <w:rFonts w:hint="eastAsia"/>
          <w:b/>
        </w:rPr>
      </w:pP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t>四、项目管理要求</w:t>
      </w:r>
    </w:p>
    <w:p w:rsidR="00E12AD6" w:rsidRDefault="00E12AD6" w:rsidP="00E12AD6">
      <w:pPr>
        <w:spacing w:line="360" w:lineRule="auto"/>
        <w:rPr>
          <w:rFonts w:ascii="新宋体" w:eastAsia="新宋体" w:hAnsi="新宋体" w:hint="eastAsia"/>
        </w:rPr>
      </w:pPr>
      <w:r>
        <w:rPr>
          <w:rFonts w:ascii="新宋体" w:eastAsia="新宋体" w:hAnsi="新宋体" w:hint="eastAsia"/>
        </w:rPr>
        <w:t>1、中标单位必须作好施工记录、隐蔽工程记录、施工资料的整理、竣工资料的编制等工作。</w:t>
      </w:r>
    </w:p>
    <w:p w:rsidR="00E12AD6" w:rsidRDefault="00E12AD6" w:rsidP="00E12AD6">
      <w:pPr>
        <w:spacing w:line="360" w:lineRule="auto"/>
        <w:rPr>
          <w:rFonts w:ascii="新宋体" w:eastAsia="新宋体" w:hAnsi="新宋体" w:hint="eastAsia"/>
        </w:rPr>
      </w:pPr>
      <w:r>
        <w:rPr>
          <w:rFonts w:ascii="新宋体" w:eastAsia="新宋体" w:hAnsi="新宋体" w:hint="eastAsia"/>
        </w:rPr>
        <w:t>2、中标单位必须在施工现场显眼位置设置正规施工警示牌、工程概况牌，标注“温馨提示”语言。靠近人行通道边（或建设方以为有必要的其他周边）必须用整齐美观的板材围护密封施工。</w:t>
      </w:r>
    </w:p>
    <w:p w:rsidR="00E12AD6" w:rsidRDefault="00E12AD6" w:rsidP="00E12AD6">
      <w:pPr>
        <w:spacing w:line="360" w:lineRule="auto"/>
        <w:rPr>
          <w:rFonts w:ascii="新宋体" w:eastAsia="新宋体" w:hAnsi="新宋体" w:hint="eastAsia"/>
        </w:rPr>
      </w:pPr>
      <w:r>
        <w:rPr>
          <w:rFonts w:ascii="新宋体" w:eastAsia="新宋体" w:hAnsi="新宋体" w:hint="eastAsia"/>
        </w:rPr>
        <w:t>3、中标单位施工必须达到有关部门规定的安全文明施工标准，服从采购人的管理，避免干扰采购人的正常工作秩序，认真做好施工现场防护、防火、噪音、用电等安全文明施工各项管理工作，承担相应一切责任，确保施工场地区域道路通畅，保持施工现场整洁，做到工完场清，达到国家卫生城市标准。</w:t>
      </w:r>
    </w:p>
    <w:p w:rsidR="00E12AD6" w:rsidRDefault="00E12AD6" w:rsidP="00E12AD6">
      <w:pPr>
        <w:spacing w:line="360" w:lineRule="auto"/>
        <w:rPr>
          <w:rFonts w:ascii="新宋体" w:eastAsia="新宋体" w:hAnsi="新宋体" w:hint="eastAsia"/>
        </w:rPr>
      </w:pPr>
      <w:r>
        <w:rPr>
          <w:rFonts w:ascii="新宋体" w:eastAsia="新宋体" w:hAnsi="新宋体" w:hint="eastAsia"/>
        </w:rPr>
        <w:t>4、中标单位必须在施工过程中注意自身及周边安全，做好现场及周边安全设施搭设，遵守有关安全保护规程，负责施工过程中的所有事故处理和费用。</w:t>
      </w:r>
    </w:p>
    <w:p w:rsidR="00E12AD6" w:rsidRDefault="00E12AD6" w:rsidP="00E12AD6">
      <w:pPr>
        <w:spacing w:line="360" w:lineRule="auto"/>
        <w:rPr>
          <w:rFonts w:ascii="新宋体" w:eastAsia="新宋体" w:hAnsi="新宋体" w:hint="eastAsia"/>
        </w:rPr>
      </w:pPr>
      <w:r>
        <w:rPr>
          <w:rFonts w:ascii="新宋体" w:eastAsia="新宋体" w:hAnsi="新宋体" w:hint="eastAsia"/>
        </w:rPr>
        <w:t>5、中标单位必须服从采购单位，监理公司的监督、指导并积极主动配合上述管理机构的工作。</w:t>
      </w:r>
    </w:p>
    <w:p w:rsidR="00E12AD6" w:rsidRDefault="00E12AD6" w:rsidP="00E12AD6">
      <w:pPr>
        <w:spacing w:line="360" w:lineRule="auto"/>
        <w:rPr>
          <w:rFonts w:ascii="新宋体" w:eastAsia="新宋体" w:hAnsi="新宋体" w:hint="eastAsia"/>
        </w:rPr>
      </w:pPr>
      <w:r>
        <w:rPr>
          <w:rFonts w:ascii="新宋体" w:eastAsia="新宋体" w:hAnsi="新宋体" w:hint="eastAsia"/>
        </w:rPr>
        <w:t>6、中标单位施工时须提供材料样板，经采购人最终确认后，方可进场使用，供应商所提供的样板或厂家应符合设计图纸要求及甲方确认要求，如供应商不能提供的可由采购人根据市场考察情况确认并实施。</w:t>
      </w:r>
    </w:p>
    <w:p w:rsidR="00E12AD6" w:rsidRDefault="00E12AD6" w:rsidP="00E12AD6">
      <w:pPr>
        <w:spacing w:line="360" w:lineRule="auto"/>
        <w:rPr>
          <w:rFonts w:ascii="新宋体" w:eastAsia="新宋体" w:hAnsi="新宋体" w:hint="eastAsia"/>
        </w:rPr>
      </w:pPr>
      <w:r>
        <w:rPr>
          <w:rFonts w:ascii="新宋体" w:eastAsia="新宋体" w:hAnsi="新宋体" w:hint="eastAsia"/>
        </w:rPr>
        <w:t>7、用在本工程的任何材料在使用前必须得到采购人的批准，样品须在大批订货前送审。获准的样品存放在工地，作为以后验收材料的标准。样品和其包装，由中标人无偿提供。</w:t>
      </w:r>
    </w:p>
    <w:p w:rsidR="00E12AD6" w:rsidRDefault="00E12AD6" w:rsidP="00E12AD6">
      <w:pPr>
        <w:spacing w:line="360" w:lineRule="auto"/>
        <w:rPr>
          <w:rFonts w:ascii="新宋体" w:eastAsia="新宋体" w:hAnsi="新宋体" w:hint="eastAsia"/>
        </w:rPr>
      </w:pPr>
      <w:r>
        <w:rPr>
          <w:rFonts w:ascii="新宋体" w:eastAsia="新宋体" w:hAnsi="新宋体" w:hint="eastAsia"/>
        </w:rPr>
        <w:t>8、承包人在工程施工前，须全面检查工地情况，若发现错误须立刻通知工程师。若未能遵从此规定，使本工程的任何项目因此等错误或缺陷而错误地建造，则中标人须自费予以拆除</w:t>
      </w:r>
      <w:r>
        <w:rPr>
          <w:rFonts w:ascii="新宋体" w:eastAsia="新宋体" w:hAnsi="新宋体" w:hint="eastAsia"/>
        </w:rPr>
        <w:lastRenderedPageBreak/>
        <w:t>及重建。</w:t>
      </w:r>
    </w:p>
    <w:p w:rsidR="00E12AD6" w:rsidRDefault="00E12AD6" w:rsidP="00E12AD6">
      <w:pPr>
        <w:spacing w:line="360" w:lineRule="auto"/>
        <w:rPr>
          <w:rFonts w:ascii="新宋体" w:eastAsia="新宋体" w:hAnsi="新宋体"/>
        </w:rPr>
      </w:pPr>
      <w:r>
        <w:rPr>
          <w:rFonts w:ascii="新宋体" w:eastAsia="新宋体" w:hAnsi="新宋体" w:hint="eastAsia"/>
        </w:rPr>
        <w:t>9、实行项目经理负责制，并按投标文件配备项目管理班子。如未经采购人同意更换项目班子成员，采购人有权取消投标人的中标资格或单方面终止合同，由此造成的违约责任由承包人承担。</w:t>
      </w:r>
    </w:p>
    <w:p w:rsidR="00E12AD6" w:rsidRDefault="00E12AD6" w:rsidP="00E12AD6">
      <w:pPr>
        <w:ind w:firstLineChars="200" w:firstLine="420"/>
        <w:rPr>
          <w:szCs w:val="21"/>
        </w:rPr>
      </w:pP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t>五、项目技术要求</w:t>
      </w:r>
    </w:p>
    <w:p w:rsidR="00E12AD6" w:rsidRDefault="00E12AD6" w:rsidP="00E12AD6">
      <w:pPr>
        <w:rPr>
          <w:rFonts w:hint="eastAsia"/>
        </w:rPr>
      </w:pPr>
    </w:p>
    <w:p w:rsidR="00E12AD6" w:rsidRDefault="00E12AD6" w:rsidP="00E12AD6">
      <w:pPr>
        <w:rPr>
          <w:rFonts w:hint="eastAsia"/>
        </w:rPr>
      </w:pPr>
      <w:r>
        <w:rPr>
          <w:rFonts w:ascii="新宋体" w:eastAsia="新宋体" w:hAnsi="新宋体" w:hint="eastAsia"/>
        </w:rPr>
        <w:t>详见施工图纸，工程量清单</w:t>
      </w:r>
    </w:p>
    <w:p w:rsidR="00E12AD6" w:rsidRDefault="00E12AD6" w:rsidP="00E12AD6">
      <w:pPr>
        <w:rPr>
          <w:rFonts w:hint="eastAsia"/>
        </w:rPr>
      </w:pP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t>六、材料设备要求</w:t>
      </w:r>
    </w:p>
    <w:p w:rsidR="00E12AD6" w:rsidRDefault="00E12AD6" w:rsidP="00E12AD6">
      <w:pPr>
        <w:pStyle w:val="Default"/>
        <w:rPr>
          <w:rFonts w:hint="eastAsia"/>
          <w:b/>
          <w:color w:val="auto"/>
          <w:sz w:val="22"/>
          <w:szCs w:val="21"/>
        </w:rPr>
      </w:pPr>
      <w:r>
        <w:rPr>
          <w:rFonts w:hint="eastAsia"/>
          <w:b/>
          <w:color w:val="auto"/>
          <w:sz w:val="22"/>
          <w:szCs w:val="21"/>
        </w:rPr>
        <w:t>（一）样品清单</w:t>
      </w:r>
    </w:p>
    <w:p w:rsidR="00E12AD6" w:rsidRDefault="00E12AD6" w:rsidP="00E12AD6">
      <w:pPr>
        <w:spacing w:line="360" w:lineRule="auto"/>
        <w:rPr>
          <w:rFonts w:hint="eastAsia"/>
          <w:b/>
          <w:sz w:val="22"/>
          <w:szCs w:val="21"/>
        </w:rPr>
      </w:pPr>
      <w:r>
        <w:rPr>
          <w:rFonts w:ascii="宋体" w:hAnsi="宋体" w:hint="eastAsia"/>
          <w:bCs/>
          <w:szCs w:val="21"/>
        </w:rPr>
        <w:t>原则上工程类项目不接受样品，特殊项目要求提供样品时应提供样品清单。</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559"/>
        <w:gridCol w:w="709"/>
        <w:gridCol w:w="709"/>
        <w:gridCol w:w="1494"/>
        <w:gridCol w:w="2268"/>
        <w:gridCol w:w="1688"/>
      </w:tblGrid>
      <w:tr w:rsidR="00E12AD6" w:rsidTr="00272C4E">
        <w:trPr>
          <w:jc w:val="center"/>
        </w:trPr>
        <w:tc>
          <w:tcPr>
            <w:tcW w:w="775" w:type="dxa"/>
            <w:vAlign w:val="center"/>
          </w:tcPr>
          <w:p w:rsidR="00E12AD6" w:rsidRDefault="00E12AD6" w:rsidP="00272C4E">
            <w:pPr>
              <w:spacing w:line="360" w:lineRule="auto"/>
              <w:jc w:val="center"/>
              <w:rPr>
                <w:rFonts w:ascii="新宋体" w:eastAsia="新宋体" w:hAnsi="新宋体"/>
                <w:snapToGrid w:val="0"/>
              </w:rPr>
            </w:pPr>
            <w:r>
              <w:rPr>
                <w:rFonts w:ascii="新宋体" w:eastAsia="新宋体" w:hAnsi="新宋体" w:hint="eastAsia"/>
                <w:snapToGrid w:val="0"/>
              </w:rPr>
              <w:t>序号</w:t>
            </w:r>
          </w:p>
        </w:tc>
        <w:tc>
          <w:tcPr>
            <w:tcW w:w="1559" w:type="dxa"/>
            <w:vAlign w:val="center"/>
          </w:tcPr>
          <w:p w:rsidR="00E12AD6" w:rsidRDefault="00E12AD6" w:rsidP="00272C4E">
            <w:pPr>
              <w:spacing w:line="360" w:lineRule="auto"/>
              <w:jc w:val="center"/>
              <w:rPr>
                <w:rFonts w:ascii="新宋体" w:eastAsia="新宋体" w:hAnsi="新宋体"/>
                <w:snapToGrid w:val="0"/>
              </w:rPr>
            </w:pPr>
            <w:r>
              <w:rPr>
                <w:rFonts w:ascii="新宋体" w:eastAsia="新宋体" w:hAnsi="新宋体" w:hint="eastAsia"/>
                <w:snapToGrid w:val="0"/>
              </w:rPr>
              <w:t>名称</w:t>
            </w:r>
          </w:p>
        </w:tc>
        <w:tc>
          <w:tcPr>
            <w:tcW w:w="709" w:type="dxa"/>
            <w:vAlign w:val="center"/>
          </w:tcPr>
          <w:p w:rsidR="00E12AD6" w:rsidRDefault="00E12AD6" w:rsidP="00272C4E">
            <w:pPr>
              <w:spacing w:line="360" w:lineRule="auto"/>
              <w:jc w:val="center"/>
              <w:rPr>
                <w:rFonts w:ascii="新宋体" w:eastAsia="新宋体" w:hAnsi="新宋体"/>
                <w:snapToGrid w:val="0"/>
              </w:rPr>
            </w:pPr>
            <w:r>
              <w:rPr>
                <w:rFonts w:ascii="新宋体" w:eastAsia="新宋体" w:hAnsi="新宋体" w:hint="eastAsia"/>
                <w:snapToGrid w:val="0"/>
              </w:rPr>
              <w:t>数量</w:t>
            </w:r>
          </w:p>
        </w:tc>
        <w:tc>
          <w:tcPr>
            <w:tcW w:w="709" w:type="dxa"/>
          </w:tcPr>
          <w:p w:rsidR="00E12AD6" w:rsidRDefault="00E12AD6" w:rsidP="00272C4E">
            <w:pPr>
              <w:spacing w:line="360" w:lineRule="auto"/>
              <w:jc w:val="center"/>
              <w:rPr>
                <w:rFonts w:ascii="新宋体" w:eastAsia="新宋体" w:hAnsi="新宋体" w:hint="eastAsia"/>
                <w:snapToGrid w:val="0"/>
              </w:rPr>
            </w:pPr>
            <w:r>
              <w:rPr>
                <w:rFonts w:ascii="新宋体" w:eastAsia="新宋体" w:hAnsi="新宋体" w:hint="eastAsia"/>
                <w:snapToGrid w:val="0"/>
              </w:rPr>
              <w:t>单位</w:t>
            </w:r>
          </w:p>
        </w:tc>
        <w:tc>
          <w:tcPr>
            <w:tcW w:w="1494" w:type="dxa"/>
          </w:tcPr>
          <w:p w:rsidR="00E12AD6" w:rsidRDefault="00E12AD6" w:rsidP="00272C4E">
            <w:pPr>
              <w:spacing w:line="360" w:lineRule="auto"/>
              <w:jc w:val="center"/>
              <w:rPr>
                <w:rFonts w:ascii="新宋体" w:eastAsia="新宋体" w:hAnsi="新宋体" w:hint="eastAsia"/>
                <w:snapToGrid w:val="0"/>
              </w:rPr>
            </w:pPr>
            <w:r>
              <w:rPr>
                <w:rFonts w:ascii="新宋体" w:eastAsia="新宋体" w:hAnsi="新宋体" w:hint="eastAsia"/>
                <w:snapToGrid w:val="0"/>
              </w:rPr>
              <w:t>规格</w:t>
            </w:r>
          </w:p>
        </w:tc>
        <w:tc>
          <w:tcPr>
            <w:tcW w:w="2268" w:type="dxa"/>
          </w:tcPr>
          <w:p w:rsidR="00E12AD6" w:rsidRDefault="00E12AD6" w:rsidP="00272C4E">
            <w:pPr>
              <w:spacing w:line="360" w:lineRule="auto"/>
              <w:jc w:val="center"/>
              <w:rPr>
                <w:rFonts w:ascii="新宋体" w:eastAsia="新宋体" w:hAnsi="新宋体" w:hint="eastAsia"/>
                <w:snapToGrid w:val="0"/>
              </w:rPr>
            </w:pPr>
            <w:r>
              <w:rPr>
                <w:rFonts w:ascii="新宋体" w:eastAsia="新宋体" w:hAnsi="新宋体" w:hint="eastAsia"/>
                <w:snapToGrid w:val="0"/>
              </w:rPr>
              <w:t>参考品牌（不少于3个）</w:t>
            </w:r>
          </w:p>
        </w:tc>
        <w:tc>
          <w:tcPr>
            <w:tcW w:w="1688" w:type="dxa"/>
          </w:tcPr>
          <w:p w:rsidR="00E12AD6" w:rsidRDefault="00E12AD6" w:rsidP="00272C4E">
            <w:pPr>
              <w:spacing w:line="360" w:lineRule="auto"/>
              <w:jc w:val="center"/>
              <w:rPr>
                <w:rFonts w:ascii="新宋体" w:eastAsia="新宋体" w:hAnsi="新宋体" w:hint="eastAsia"/>
                <w:snapToGrid w:val="0"/>
              </w:rPr>
            </w:pPr>
            <w:r>
              <w:rPr>
                <w:rFonts w:ascii="新宋体" w:eastAsia="新宋体" w:hAnsi="新宋体" w:hint="eastAsia"/>
                <w:snapToGrid w:val="0"/>
              </w:rPr>
              <w:t>样品技术要求</w:t>
            </w:r>
          </w:p>
        </w:tc>
      </w:tr>
      <w:tr w:rsidR="00E12AD6" w:rsidTr="00272C4E">
        <w:trPr>
          <w:trHeight w:val="409"/>
          <w:jc w:val="center"/>
        </w:trPr>
        <w:tc>
          <w:tcPr>
            <w:tcW w:w="775" w:type="dxa"/>
            <w:vAlign w:val="center"/>
          </w:tcPr>
          <w:p w:rsidR="00E12AD6" w:rsidRDefault="00E12AD6" w:rsidP="00272C4E">
            <w:pPr>
              <w:spacing w:line="360" w:lineRule="auto"/>
              <w:jc w:val="center"/>
              <w:rPr>
                <w:rFonts w:ascii="新宋体" w:eastAsia="新宋体" w:hAnsi="新宋体"/>
                <w:snapToGrid w:val="0"/>
              </w:rPr>
            </w:pPr>
            <w:r>
              <w:rPr>
                <w:rFonts w:ascii="新宋体" w:eastAsia="新宋体" w:hAnsi="新宋体" w:hint="eastAsia"/>
                <w:snapToGrid w:val="0"/>
              </w:rPr>
              <w:t>1</w:t>
            </w:r>
          </w:p>
        </w:tc>
        <w:tc>
          <w:tcPr>
            <w:tcW w:w="1559" w:type="dxa"/>
            <w:vAlign w:val="center"/>
          </w:tcPr>
          <w:p w:rsidR="00E12AD6" w:rsidRDefault="00E12AD6" w:rsidP="00272C4E">
            <w:pPr>
              <w:spacing w:line="360" w:lineRule="auto"/>
              <w:jc w:val="left"/>
              <w:rPr>
                <w:rFonts w:ascii="宋体" w:hAnsi="宋体"/>
                <w:bCs/>
                <w:snapToGrid w:val="0"/>
                <w:color w:val="FF0000"/>
                <w:kern w:val="0"/>
                <w:szCs w:val="21"/>
              </w:rPr>
            </w:pPr>
          </w:p>
        </w:tc>
        <w:tc>
          <w:tcPr>
            <w:tcW w:w="709" w:type="dxa"/>
            <w:vAlign w:val="center"/>
          </w:tcPr>
          <w:p w:rsidR="00E12AD6" w:rsidRDefault="00E12AD6" w:rsidP="00272C4E">
            <w:pPr>
              <w:spacing w:line="360" w:lineRule="auto"/>
              <w:jc w:val="left"/>
              <w:rPr>
                <w:rFonts w:ascii="宋体" w:hAnsi="宋体"/>
                <w:bCs/>
                <w:snapToGrid w:val="0"/>
                <w:color w:val="FF0000"/>
                <w:kern w:val="0"/>
                <w:szCs w:val="21"/>
              </w:rPr>
            </w:pPr>
          </w:p>
        </w:tc>
        <w:tc>
          <w:tcPr>
            <w:tcW w:w="709" w:type="dxa"/>
          </w:tcPr>
          <w:p w:rsidR="00E12AD6" w:rsidRDefault="00E12AD6" w:rsidP="00272C4E">
            <w:pPr>
              <w:spacing w:line="360" w:lineRule="auto"/>
              <w:jc w:val="left"/>
              <w:rPr>
                <w:rFonts w:ascii="宋体" w:hAnsi="宋体"/>
                <w:bCs/>
                <w:snapToGrid w:val="0"/>
                <w:color w:val="FF0000"/>
                <w:kern w:val="0"/>
                <w:szCs w:val="21"/>
              </w:rPr>
            </w:pPr>
          </w:p>
        </w:tc>
        <w:tc>
          <w:tcPr>
            <w:tcW w:w="1494" w:type="dxa"/>
          </w:tcPr>
          <w:p w:rsidR="00E12AD6" w:rsidRDefault="00E12AD6" w:rsidP="00272C4E">
            <w:pPr>
              <w:spacing w:line="360" w:lineRule="auto"/>
              <w:jc w:val="left"/>
              <w:rPr>
                <w:rFonts w:ascii="宋体" w:hAnsi="宋体"/>
                <w:bCs/>
                <w:snapToGrid w:val="0"/>
                <w:color w:val="FF0000"/>
                <w:kern w:val="0"/>
                <w:szCs w:val="21"/>
              </w:rPr>
            </w:pPr>
          </w:p>
        </w:tc>
        <w:tc>
          <w:tcPr>
            <w:tcW w:w="2268" w:type="dxa"/>
          </w:tcPr>
          <w:p w:rsidR="00E12AD6" w:rsidRDefault="00E12AD6" w:rsidP="00272C4E">
            <w:pPr>
              <w:spacing w:line="360" w:lineRule="auto"/>
              <w:jc w:val="center"/>
              <w:rPr>
                <w:rFonts w:ascii="新宋体" w:eastAsia="新宋体" w:hAnsi="新宋体" w:hint="eastAsia"/>
                <w:snapToGrid w:val="0"/>
              </w:rPr>
            </w:pPr>
          </w:p>
        </w:tc>
        <w:tc>
          <w:tcPr>
            <w:tcW w:w="1688" w:type="dxa"/>
          </w:tcPr>
          <w:p w:rsidR="00E12AD6" w:rsidRDefault="00E12AD6" w:rsidP="00272C4E">
            <w:pPr>
              <w:spacing w:line="360" w:lineRule="auto"/>
              <w:jc w:val="center"/>
              <w:rPr>
                <w:rFonts w:ascii="新宋体" w:eastAsia="新宋体" w:hAnsi="新宋体"/>
                <w:snapToGrid w:val="0"/>
              </w:rPr>
            </w:pPr>
            <w:r>
              <w:rPr>
                <w:rFonts w:ascii="宋体" w:hAnsi="宋体" w:hint="eastAsia"/>
                <w:bCs/>
                <w:snapToGrid w:val="0"/>
                <w:kern w:val="0"/>
                <w:szCs w:val="21"/>
              </w:rPr>
              <w:t>/</w:t>
            </w:r>
          </w:p>
        </w:tc>
      </w:tr>
      <w:tr w:rsidR="00E12AD6" w:rsidTr="00272C4E">
        <w:trPr>
          <w:trHeight w:val="153"/>
          <w:jc w:val="center"/>
        </w:trPr>
        <w:tc>
          <w:tcPr>
            <w:tcW w:w="775" w:type="dxa"/>
            <w:vAlign w:val="center"/>
          </w:tcPr>
          <w:p w:rsidR="00E12AD6" w:rsidRDefault="00E12AD6" w:rsidP="00272C4E">
            <w:pPr>
              <w:spacing w:line="276" w:lineRule="auto"/>
              <w:jc w:val="center"/>
              <w:rPr>
                <w:rFonts w:ascii="新宋体" w:eastAsia="新宋体" w:hAnsi="新宋体"/>
                <w:snapToGrid w:val="0"/>
              </w:rPr>
            </w:pPr>
            <w:r>
              <w:rPr>
                <w:rFonts w:ascii="新宋体" w:eastAsia="新宋体" w:hAnsi="新宋体" w:hint="eastAsia"/>
                <w:snapToGrid w:val="0"/>
              </w:rPr>
              <w:t>2</w:t>
            </w:r>
          </w:p>
        </w:tc>
        <w:tc>
          <w:tcPr>
            <w:tcW w:w="1559" w:type="dxa"/>
            <w:vAlign w:val="center"/>
          </w:tcPr>
          <w:p w:rsidR="00E12AD6" w:rsidRDefault="00E12AD6" w:rsidP="00272C4E">
            <w:pPr>
              <w:jc w:val="left"/>
              <w:rPr>
                <w:rFonts w:ascii="宋体" w:hAnsi="宋体"/>
                <w:bCs/>
                <w:snapToGrid w:val="0"/>
                <w:color w:val="FF0000"/>
                <w:kern w:val="0"/>
                <w:szCs w:val="21"/>
              </w:rPr>
            </w:pPr>
          </w:p>
        </w:tc>
        <w:tc>
          <w:tcPr>
            <w:tcW w:w="709" w:type="dxa"/>
            <w:vAlign w:val="center"/>
          </w:tcPr>
          <w:p w:rsidR="00E12AD6" w:rsidRDefault="00E12AD6" w:rsidP="00272C4E">
            <w:pPr>
              <w:jc w:val="left"/>
              <w:rPr>
                <w:rFonts w:ascii="宋体" w:hAnsi="宋体"/>
                <w:bCs/>
                <w:snapToGrid w:val="0"/>
                <w:color w:val="FF0000"/>
                <w:kern w:val="0"/>
                <w:szCs w:val="21"/>
              </w:rPr>
            </w:pPr>
          </w:p>
        </w:tc>
        <w:tc>
          <w:tcPr>
            <w:tcW w:w="709" w:type="dxa"/>
          </w:tcPr>
          <w:p w:rsidR="00E12AD6" w:rsidRDefault="00E12AD6" w:rsidP="00272C4E">
            <w:pPr>
              <w:jc w:val="left"/>
              <w:rPr>
                <w:rFonts w:ascii="宋体" w:hAnsi="宋体"/>
                <w:bCs/>
                <w:snapToGrid w:val="0"/>
                <w:color w:val="FF0000"/>
                <w:kern w:val="0"/>
                <w:szCs w:val="21"/>
              </w:rPr>
            </w:pPr>
          </w:p>
        </w:tc>
        <w:tc>
          <w:tcPr>
            <w:tcW w:w="1494" w:type="dxa"/>
          </w:tcPr>
          <w:p w:rsidR="00E12AD6" w:rsidRDefault="00E12AD6" w:rsidP="00272C4E">
            <w:pPr>
              <w:jc w:val="left"/>
              <w:rPr>
                <w:rFonts w:ascii="宋体" w:hAnsi="宋体"/>
                <w:bCs/>
                <w:snapToGrid w:val="0"/>
                <w:color w:val="FF0000"/>
                <w:kern w:val="0"/>
                <w:szCs w:val="21"/>
              </w:rPr>
            </w:pPr>
          </w:p>
        </w:tc>
        <w:tc>
          <w:tcPr>
            <w:tcW w:w="2268" w:type="dxa"/>
          </w:tcPr>
          <w:p w:rsidR="00E12AD6" w:rsidRDefault="00E12AD6" w:rsidP="00272C4E">
            <w:pPr>
              <w:spacing w:line="276" w:lineRule="auto"/>
              <w:jc w:val="center"/>
              <w:rPr>
                <w:rFonts w:ascii="新宋体" w:eastAsia="新宋体" w:hAnsi="新宋体"/>
                <w:snapToGrid w:val="0"/>
              </w:rPr>
            </w:pPr>
          </w:p>
        </w:tc>
        <w:tc>
          <w:tcPr>
            <w:tcW w:w="1688" w:type="dxa"/>
          </w:tcPr>
          <w:p w:rsidR="00E12AD6" w:rsidRDefault="00E12AD6" w:rsidP="00272C4E">
            <w:pPr>
              <w:spacing w:line="276" w:lineRule="auto"/>
              <w:jc w:val="center"/>
              <w:rPr>
                <w:rFonts w:ascii="新宋体" w:eastAsia="新宋体" w:hAnsi="新宋体"/>
                <w:snapToGrid w:val="0"/>
              </w:rPr>
            </w:pPr>
            <w:r>
              <w:rPr>
                <w:rFonts w:ascii="宋体" w:hAnsi="宋体" w:hint="eastAsia"/>
                <w:bCs/>
                <w:snapToGrid w:val="0"/>
                <w:kern w:val="0"/>
                <w:szCs w:val="21"/>
              </w:rPr>
              <w:t>/</w:t>
            </w:r>
          </w:p>
        </w:tc>
      </w:tr>
      <w:tr w:rsidR="00E12AD6" w:rsidTr="00272C4E">
        <w:trPr>
          <w:trHeight w:val="129"/>
          <w:jc w:val="center"/>
        </w:trPr>
        <w:tc>
          <w:tcPr>
            <w:tcW w:w="775" w:type="dxa"/>
            <w:vAlign w:val="center"/>
          </w:tcPr>
          <w:p w:rsidR="00E12AD6" w:rsidRDefault="00E12AD6" w:rsidP="00272C4E">
            <w:pPr>
              <w:spacing w:line="276" w:lineRule="auto"/>
              <w:jc w:val="center"/>
              <w:rPr>
                <w:rFonts w:ascii="新宋体" w:eastAsia="新宋体" w:hAnsi="新宋体"/>
                <w:snapToGrid w:val="0"/>
              </w:rPr>
            </w:pPr>
            <w:r>
              <w:rPr>
                <w:rFonts w:ascii="新宋体" w:eastAsia="新宋体" w:hAnsi="新宋体" w:hint="eastAsia"/>
                <w:snapToGrid w:val="0"/>
              </w:rPr>
              <w:t>3</w:t>
            </w:r>
          </w:p>
        </w:tc>
        <w:tc>
          <w:tcPr>
            <w:tcW w:w="1559" w:type="dxa"/>
            <w:vAlign w:val="center"/>
          </w:tcPr>
          <w:p w:rsidR="00E12AD6" w:rsidRDefault="00E12AD6" w:rsidP="00272C4E">
            <w:pPr>
              <w:jc w:val="left"/>
              <w:rPr>
                <w:rFonts w:ascii="宋体" w:hAnsi="宋体"/>
                <w:bCs/>
                <w:snapToGrid w:val="0"/>
                <w:color w:val="FF0000"/>
                <w:kern w:val="0"/>
                <w:szCs w:val="21"/>
              </w:rPr>
            </w:pPr>
          </w:p>
        </w:tc>
        <w:tc>
          <w:tcPr>
            <w:tcW w:w="709" w:type="dxa"/>
            <w:vAlign w:val="center"/>
          </w:tcPr>
          <w:p w:rsidR="00E12AD6" w:rsidRDefault="00E12AD6" w:rsidP="00272C4E">
            <w:pPr>
              <w:jc w:val="left"/>
              <w:rPr>
                <w:rFonts w:ascii="宋体" w:hAnsi="宋体"/>
                <w:bCs/>
                <w:snapToGrid w:val="0"/>
                <w:color w:val="FF0000"/>
                <w:kern w:val="0"/>
                <w:szCs w:val="21"/>
              </w:rPr>
            </w:pPr>
          </w:p>
        </w:tc>
        <w:tc>
          <w:tcPr>
            <w:tcW w:w="709" w:type="dxa"/>
          </w:tcPr>
          <w:p w:rsidR="00E12AD6" w:rsidRDefault="00E12AD6" w:rsidP="00272C4E">
            <w:pPr>
              <w:jc w:val="left"/>
              <w:rPr>
                <w:rFonts w:ascii="宋体" w:hAnsi="宋体"/>
                <w:bCs/>
                <w:snapToGrid w:val="0"/>
                <w:color w:val="FF0000"/>
                <w:kern w:val="0"/>
                <w:szCs w:val="21"/>
              </w:rPr>
            </w:pPr>
          </w:p>
        </w:tc>
        <w:tc>
          <w:tcPr>
            <w:tcW w:w="1494" w:type="dxa"/>
          </w:tcPr>
          <w:p w:rsidR="00E12AD6" w:rsidRDefault="00E12AD6" w:rsidP="00272C4E">
            <w:pPr>
              <w:jc w:val="left"/>
              <w:rPr>
                <w:rFonts w:ascii="宋体" w:hAnsi="宋体"/>
                <w:bCs/>
                <w:snapToGrid w:val="0"/>
                <w:color w:val="FF0000"/>
                <w:kern w:val="0"/>
                <w:szCs w:val="21"/>
              </w:rPr>
            </w:pPr>
          </w:p>
        </w:tc>
        <w:tc>
          <w:tcPr>
            <w:tcW w:w="2268" w:type="dxa"/>
          </w:tcPr>
          <w:p w:rsidR="00E12AD6" w:rsidRDefault="00E12AD6" w:rsidP="00272C4E">
            <w:pPr>
              <w:spacing w:line="276" w:lineRule="auto"/>
              <w:jc w:val="center"/>
              <w:rPr>
                <w:rFonts w:ascii="新宋体" w:eastAsia="新宋体" w:hAnsi="新宋体"/>
                <w:snapToGrid w:val="0"/>
              </w:rPr>
            </w:pPr>
          </w:p>
        </w:tc>
        <w:tc>
          <w:tcPr>
            <w:tcW w:w="1688" w:type="dxa"/>
          </w:tcPr>
          <w:p w:rsidR="00E12AD6" w:rsidRDefault="00E12AD6" w:rsidP="00272C4E">
            <w:pPr>
              <w:spacing w:line="276" w:lineRule="auto"/>
              <w:jc w:val="center"/>
              <w:rPr>
                <w:rFonts w:ascii="新宋体" w:eastAsia="新宋体" w:hAnsi="新宋体"/>
                <w:snapToGrid w:val="0"/>
              </w:rPr>
            </w:pPr>
          </w:p>
        </w:tc>
      </w:tr>
    </w:tbl>
    <w:p w:rsidR="00E12AD6" w:rsidRDefault="00E12AD6" w:rsidP="00E12AD6">
      <w:pPr>
        <w:spacing w:line="360" w:lineRule="auto"/>
        <w:rPr>
          <w:rFonts w:ascii="新宋体" w:eastAsia="新宋体" w:hAnsi="新宋体" w:hint="eastAsia"/>
        </w:rPr>
      </w:pPr>
      <w:r>
        <w:rPr>
          <w:rFonts w:ascii="新宋体" w:eastAsia="新宋体" w:hAnsi="新宋体" w:hint="eastAsia"/>
        </w:rPr>
        <w:t>备注：</w:t>
      </w:r>
    </w:p>
    <w:p w:rsidR="00E12AD6" w:rsidRDefault="00E12AD6" w:rsidP="00E12AD6">
      <w:pPr>
        <w:spacing w:line="360" w:lineRule="auto"/>
        <w:rPr>
          <w:rFonts w:ascii="新宋体" w:eastAsia="新宋体" w:hAnsi="新宋体"/>
        </w:rPr>
      </w:pPr>
      <w:r>
        <w:rPr>
          <w:rFonts w:ascii="新宋体" w:eastAsia="新宋体" w:hAnsi="新宋体" w:hint="eastAsia"/>
        </w:rPr>
        <w:t>1、投标人须提供上表所列产品，在规定的时间内送至指定地点参与评分。</w:t>
      </w:r>
    </w:p>
    <w:p w:rsidR="00E12AD6" w:rsidRDefault="00E12AD6" w:rsidP="00E12AD6">
      <w:pPr>
        <w:spacing w:line="360" w:lineRule="auto"/>
        <w:rPr>
          <w:rFonts w:ascii="新宋体" w:eastAsia="新宋体" w:hAnsi="新宋体"/>
        </w:rPr>
      </w:pPr>
      <w:r>
        <w:rPr>
          <w:rFonts w:ascii="新宋体" w:eastAsia="新宋体" w:hAnsi="新宋体" w:hint="eastAsia"/>
        </w:rPr>
        <w:t>2、样品与《实质性响应条款偏离表》中对应的投标内容存在不符的，评委会可根据情况视为《实质性响应条款偏离表》填写不实，初审不通过。</w:t>
      </w:r>
    </w:p>
    <w:p w:rsidR="00E12AD6" w:rsidRDefault="00E12AD6" w:rsidP="00E12AD6">
      <w:pPr>
        <w:spacing w:line="360" w:lineRule="auto"/>
        <w:rPr>
          <w:rFonts w:hint="eastAsia"/>
          <w:szCs w:val="21"/>
        </w:rPr>
      </w:pPr>
      <w:r>
        <w:rPr>
          <w:rFonts w:ascii="新宋体" w:eastAsia="新宋体" w:hAnsi="新宋体" w:hint="eastAsia"/>
        </w:rPr>
        <w:t>3、材料样品将作为履约验收的参考。</w:t>
      </w:r>
    </w:p>
    <w:p w:rsidR="00E12AD6" w:rsidRDefault="00E12AD6" w:rsidP="00E12AD6">
      <w:pPr>
        <w:pStyle w:val="Default"/>
        <w:spacing w:line="360" w:lineRule="auto"/>
        <w:rPr>
          <w:rFonts w:hint="eastAsia"/>
          <w:b/>
          <w:color w:val="auto"/>
          <w:sz w:val="22"/>
          <w:szCs w:val="21"/>
        </w:rPr>
      </w:pPr>
      <w:r>
        <w:rPr>
          <w:rFonts w:hint="eastAsia"/>
          <w:b/>
          <w:color w:val="auto"/>
          <w:sz w:val="22"/>
          <w:szCs w:val="21"/>
        </w:rPr>
        <w:t>（二）主要材料设备参考品牌</w:t>
      </w:r>
    </w:p>
    <w:p w:rsidR="00E12AD6" w:rsidRDefault="00E12AD6" w:rsidP="00E12AD6">
      <w:pPr>
        <w:spacing w:line="360" w:lineRule="auto"/>
        <w:rPr>
          <w:rFonts w:ascii="宋体" w:hAnsi="宋体"/>
          <w:bCs/>
          <w:snapToGrid w:val="0"/>
          <w:kern w:val="0"/>
          <w:szCs w:val="21"/>
        </w:rPr>
      </w:pPr>
      <w:r>
        <w:rPr>
          <w:rFonts w:ascii="宋体" w:hAnsi="宋体"/>
          <w:bCs/>
          <w:snapToGrid w:val="0"/>
          <w:kern w:val="0"/>
          <w:szCs w:val="21"/>
        </w:rPr>
        <w:t>1.</w:t>
      </w:r>
    </w:p>
    <w:p w:rsidR="00E12AD6" w:rsidRDefault="00E12AD6" w:rsidP="00E12AD6">
      <w:pPr>
        <w:spacing w:line="360" w:lineRule="auto"/>
        <w:rPr>
          <w:rFonts w:ascii="宋体" w:hAnsi="宋体"/>
          <w:bCs/>
          <w:snapToGrid w:val="0"/>
          <w:kern w:val="0"/>
          <w:szCs w:val="21"/>
        </w:rPr>
      </w:pPr>
      <w:r>
        <w:rPr>
          <w:rFonts w:ascii="宋体" w:hAnsi="宋体"/>
          <w:bCs/>
          <w:snapToGrid w:val="0"/>
          <w:kern w:val="0"/>
          <w:szCs w:val="21"/>
        </w:rPr>
        <w:t>2.</w:t>
      </w:r>
    </w:p>
    <w:p w:rsidR="00E12AD6" w:rsidRDefault="00E12AD6" w:rsidP="00E12AD6">
      <w:pPr>
        <w:spacing w:line="360" w:lineRule="auto"/>
        <w:rPr>
          <w:rFonts w:ascii="宋体" w:hAnsi="宋体"/>
          <w:bCs/>
          <w:snapToGrid w:val="0"/>
          <w:kern w:val="0"/>
          <w:szCs w:val="21"/>
        </w:rPr>
      </w:pPr>
      <w:r>
        <w:rPr>
          <w:rFonts w:ascii="宋体" w:hAnsi="宋体" w:hint="eastAsia"/>
          <w:bCs/>
          <w:snapToGrid w:val="0"/>
          <w:kern w:val="0"/>
          <w:szCs w:val="21"/>
        </w:rPr>
        <w:t>……</w:t>
      </w:r>
    </w:p>
    <w:p w:rsidR="00E12AD6" w:rsidRDefault="00E12AD6" w:rsidP="00E12AD6">
      <w:pPr>
        <w:spacing w:line="360" w:lineRule="auto"/>
        <w:rPr>
          <w:rFonts w:ascii="新宋体" w:eastAsia="新宋体" w:hAnsi="新宋体" w:hint="eastAsia"/>
        </w:rPr>
      </w:pPr>
      <w:r>
        <w:rPr>
          <w:rFonts w:ascii="宋体" w:hAnsi="宋体" w:hint="eastAsia"/>
          <w:bCs/>
          <w:snapToGrid w:val="0"/>
          <w:kern w:val="0"/>
          <w:szCs w:val="21"/>
        </w:rPr>
        <w:t>注：本项目招标文件、图纸、工程量清单中出现的材料设备品牌均为投标参考，投标人可根据项目情况结合自身实际，选择品质、档次不低于参考品牌材料设备即可。</w:t>
      </w:r>
    </w:p>
    <w:p w:rsidR="00E12AD6" w:rsidRDefault="00E12AD6" w:rsidP="00E12AD6">
      <w:pPr>
        <w:rPr>
          <w:rFonts w:hint="eastAsia"/>
        </w:rPr>
      </w:pP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lastRenderedPageBreak/>
        <w:t>七、图纸(见附件)</w:t>
      </w:r>
    </w:p>
    <w:p w:rsidR="00E12AD6" w:rsidRDefault="00E12AD6" w:rsidP="00E12AD6">
      <w:pPr>
        <w:rPr>
          <w:rFonts w:hint="eastAsia"/>
        </w:rPr>
      </w:pP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t>八、工程量清单（见附件）</w:t>
      </w:r>
    </w:p>
    <w:p w:rsidR="00E12AD6" w:rsidRDefault="00E12AD6" w:rsidP="00E12AD6">
      <w:pPr>
        <w:spacing w:line="360" w:lineRule="auto"/>
        <w:rPr>
          <w:rFonts w:ascii="宋体" w:hAnsi="宋体" w:hint="eastAsia"/>
          <w:b/>
          <w:bCs/>
          <w:snapToGrid w:val="0"/>
          <w:kern w:val="0"/>
          <w:szCs w:val="21"/>
          <w:lang w:val="zh-CN"/>
        </w:rPr>
      </w:pPr>
      <w:r>
        <w:rPr>
          <w:rFonts w:ascii="宋体" w:hAnsi="宋体" w:hint="eastAsia"/>
          <w:b/>
          <w:bCs/>
          <w:snapToGrid w:val="0"/>
          <w:kern w:val="0"/>
          <w:szCs w:val="21"/>
          <w:lang w:val="zh-CN"/>
        </w:rPr>
        <w:t>说明：</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1、工程计价办法：综合单价法。</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2、工程量清单应与投标须知、合同条件、工程建设标准及技术要求和图纸等文件结合起来理解或解释。</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3、本工程量清单是采购人委托相关单位根据本招标文件中所提供的设计文件编制的。</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4、按照《建设工程工程量清单计价规范》的规定，“工程量清单格式”主要包括以下几个部分，但不局限于以下部分：</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⑴.清单封面；</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⑵.总说明；</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包括：工程概况、工程招标范围、工程量清单编制依据、工程质量、材料、施工的特殊要求、预留金及暂定金额的情况等。</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⑶. 工程项目/单项工程汇总表；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指本次招标的工程项目所包含的单项工程及每个单项工程所包含的单位工程，只有一个单位工程时可不填此表。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⑷.分部分项工程量清单；</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⑸. 措施项目清单汇总表；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⑹. 措施项目清单（一）：指按分部分项工程量清单的方式采用综合单价计价的措施项目；</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⑺. 其他项目清单汇总表；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该表分为采购人部分和投标人部分，采购人部分可采购人另行招标采购材料设备费用等，由采购人填写；投标人部分可包括总承包服务费、零星工作项目费等，由投标人根据工程情况，投标报价时填写。</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(8)材料设备暂估价表；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(9)计日工表；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(10)总承包服务费表；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(11)发包人供应材料设备明细表：指招标人计划自行采购的材料设备的数量价格等情况。</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lastRenderedPageBreak/>
        <w:t>(12)</w:t>
      </w:r>
      <w:proofErr w:type="gramStart"/>
      <w:r>
        <w:rPr>
          <w:rFonts w:ascii="新宋体" w:eastAsia="新宋体" w:hAnsi="新宋体" w:hint="eastAsia"/>
          <w:bCs/>
          <w:snapToGrid w:val="0"/>
          <w:kern w:val="0"/>
          <w:szCs w:val="21"/>
          <w:lang w:val="zh-CN"/>
        </w:rPr>
        <w:t>规</w:t>
      </w:r>
      <w:proofErr w:type="gramEnd"/>
      <w:r>
        <w:rPr>
          <w:rFonts w:ascii="新宋体" w:eastAsia="新宋体" w:hAnsi="新宋体" w:hint="eastAsia"/>
          <w:bCs/>
          <w:snapToGrid w:val="0"/>
          <w:kern w:val="0"/>
          <w:szCs w:val="21"/>
          <w:lang w:val="zh-CN"/>
        </w:rPr>
        <w:t>费、税金项目清单；</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(13)暂列金额明细表；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(14)工程建设其他费：指招标人要求投标人完成的工程建设其他费项目。</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(15)设备及工器具购置费：指招标工程中包含的不计算营业税的设备名称、规格、数量等情况。</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5、本工程要求采用的工程量计算规则，应作为本工程招投标双方进行工程招投标和结算计量、计价的共同依据。</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6、本工程要求采用的工程量计算规则是《13清单计价规范》及《13清单计价规范》补充规范（深圳2013）；</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7、对“分部分项工程量清单”的说明和报价要求</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⑴.该清单所列的</w:t>
      </w:r>
      <w:proofErr w:type="gramStart"/>
      <w:r>
        <w:rPr>
          <w:rFonts w:ascii="新宋体" w:eastAsia="新宋体" w:hAnsi="新宋体" w:hint="eastAsia"/>
          <w:bCs/>
          <w:snapToGrid w:val="0"/>
          <w:kern w:val="0"/>
          <w:szCs w:val="21"/>
          <w:lang w:val="zh-CN"/>
        </w:rPr>
        <w:t>工程量系采购</w:t>
      </w:r>
      <w:proofErr w:type="gramEnd"/>
      <w:r>
        <w:rPr>
          <w:rFonts w:ascii="新宋体" w:eastAsia="新宋体" w:hAnsi="新宋体" w:hint="eastAsia"/>
          <w:bCs/>
          <w:snapToGrid w:val="0"/>
          <w:kern w:val="0"/>
          <w:szCs w:val="21"/>
          <w:lang w:val="zh-CN"/>
        </w:rPr>
        <w:t>人的估算，是临时的，作为投标报价的共同基础。不应被理解为是对采购人要求工作内容的全部定义，也不能作为投标人应完成的实际工程量。结算时，应以由承包人和采购人或由采购人授权委托的工程师共同计量、核实的实际完成的工程量为准。</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⑵.该清单中所填入的综合单价和合价应包括直接成本（即人工、材料、机械）和费用（管理费、利润）、风险金等全部费用。但涉及到采购人自行采购的设备材料的项目</w:t>
      </w:r>
      <w:proofErr w:type="gramStart"/>
      <w:r>
        <w:rPr>
          <w:rFonts w:ascii="新宋体" w:eastAsia="新宋体" w:hAnsi="新宋体" w:hint="eastAsia"/>
          <w:bCs/>
          <w:snapToGrid w:val="0"/>
          <w:kern w:val="0"/>
          <w:szCs w:val="21"/>
          <w:lang w:val="zh-CN"/>
        </w:rPr>
        <w:t>不</w:t>
      </w:r>
      <w:proofErr w:type="gramEnd"/>
      <w:r>
        <w:rPr>
          <w:rFonts w:ascii="新宋体" w:eastAsia="新宋体" w:hAnsi="新宋体" w:hint="eastAsia"/>
          <w:bCs/>
          <w:snapToGrid w:val="0"/>
          <w:kern w:val="0"/>
          <w:szCs w:val="21"/>
          <w:lang w:val="zh-CN"/>
        </w:rPr>
        <w:t>得计入材料设备的价格。</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⑶. 该清单中不再重复或概括工程及材料的一般说明，在编制和填写工程量清单的每一项的综合单价和合价时应参考投标须知和合同条件的有关条款。</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⑷.该清单的各项</w:t>
      </w:r>
      <w:proofErr w:type="gramStart"/>
      <w:r>
        <w:rPr>
          <w:rFonts w:ascii="新宋体" w:eastAsia="新宋体" w:hAnsi="新宋体" w:hint="eastAsia"/>
          <w:bCs/>
          <w:snapToGrid w:val="0"/>
          <w:kern w:val="0"/>
          <w:szCs w:val="21"/>
          <w:lang w:val="zh-CN"/>
        </w:rPr>
        <w:t>目说明</w:t>
      </w:r>
      <w:proofErr w:type="gramEnd"/>
      <w:r>
        <w:rPr>
          <w:rFonts w:ascii="新宋体" w:eastAsia="新宋体" w:hAnsi="新宋体" w:hint="eastAsia"/>
          <w:bCs/>
          <w:snapToGrid w:val="0"/>
          <w:kern w:val="0"/>
          <w:szCs w:val="21"/>
          <w:lang w:val="zh-CN"/>
        </w:rPr>
        <w:t>中含有“暂定材料设备单价”的，应明确说明此单价是否包括运输费、采保费等费用。投标时投标人不得修改。结算时，应按本招标文件的合同条件中约定的方法调整。</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⑸.针对该清单，投标人报价时应提供 “分部分项工程量清单综合单价分析表”。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8、对“措施项目清单”的说明和报价要求：</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⑴.该清单所列项目均以“一项”提出，是采购人根据一般情况估计的项目，投标人实际措施项目不同的，可以对具体列项内容进行调整。</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⑵. 该清单中以“项”为单位的措施项目，投标人填报的价格应包括除</w:t>
      </w:r>
      <w:proofErr w:type="gramStart"/>
      <w:r>
        <w:rPr>
          <w:rFonts w:ascii="新宋体" w:eastAsia="新宋体" w:hAnsi="新宋体" w:hint="eastAsia"/>
          <w:bCs/>
          <w:snapToGrid w:val="0"/>
          <w:kern w:val="0"/>
          <w:szCs w:val="21"/>
          <w:lang w:val="zh-CN"/>
        </w:rPr>
        <w:t>规</w:t>
      </w:r>
      <w:proofErr w:type="gramEnd"/>
      <w:r>
        <w:rPr>
          <w:rFonts w:ascii="新宋体" w:eastAsia="新宋体" w:hAnsi="新宋体" w:hint="eastAsia"/>
          <w:bCs/>
          <w:snapToGrid w:val="0"/>
          <w:kern w:val="0"/>
          <w:szCs w:val="21"/>
          <w:lang w:val="zh-CN"/>
        </w:rPr>
        <w:t>费、税金外的全部费用。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措施项目中可以计算工程量的项目，投标人应根据招标人在“措施项目清单（一）”提供的工程量填报综合单价和合价。该清单所列的</w:t>
      </w:r>
      <w:proofErr w:type="gramStart"/>
      <w:r>
        <w:rPr>
          <w:rFonts w:ascii="新宋体" w:eastAsia="新宋体" w:hAnsi="新宋体" w:hint="eastAsia"/>
          <w:bCs/>
          <w:snapToGrid w:val="0"/>
          <w:kern w:val="0"/>
          <w:szCs w:val="21"/>
          <w:lang w:val="zh-CN"/>
        </w:rPr>
        <w:t>工程量系招标</w:t>
      </w:r>
      <w:proofErr w:type="gramEnd"/>
      <w:r>
        <w:rPr>
          <w:rFonts w:ascii="新宋体" w:eastAsia="新宋体" w:hAnsi="新宋体" w:hint="eastAsia"/>
          <w:bCs/>
          <w:snapToGrid w:val="0"/>
          <w:kern w:val="0"/>
          <w:szCs w:val="21"/>
          <w:lang w:val="zh-CN"/>
        </w:rPr>
        <w:t>人的估算，是临时的，是投标人报</w:t>
      </w:r>
      <w:r>
        <w:rPr>
          <w:rFonts w:ascii="新宋体" w:eastAsia="新宋体" w:hAnsi="新宋体" w:hint="eastAsia"/>
          <w:bCs/>
          <w:snapToGrid w:val="0"/>
          <w:kern w:val="0"/>
          <w:szCs w:val="21"/>
          <w:lang w:val="zh-CN"/>
        </w:rPr>
        <w:lastRenderedPageBreak/>
        <w:t>价的共同基础。不被理解为是对招标人要求工作内容的全部定义，也不能作为投标人应完成的实际工程量。所填入的综合单价和合价应包括人工费、材料费、施工机械使用费和企业管理费与利润，以及一定范围内的风险费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⑶.针对该清单，要求投标人报价时提供“措施项目清单与计价表（二）”。</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⑷.该清单中列入了“安全文明施工措施费”，该费用包括临时设施费、安全施工费、文明施工费、环境保护费。编制招标控制价时，招标人将按《〈建设工程工程清单计价规范〉补充规范（深圳2013）》中安全文明施工措施费详细清单所列基本项目和现行《深圳市建设工程计价费率标准》中的费率确定“安全文明施工措施费”费用，计入招标控制价，并在公布招标控制价时明确该项费用的具体金额，作为非竞争性费用。不编制招标控制价时，招标人按现行《深圳市建设工程计价费率标准》中的费率确定“安全文明施工措施费”费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投标人应当按照本招标文件的规定，在《〈建设工程工程清单计价规范〉补充规范（深圳2013）》中“安全文明施工措施费详细清单”所列基本项目基础上，结合工程实际及施工组织设计或施工方案，补充所需的特定安全文明施工措施项目，编制“安全文明施工措施费详细清单”，列出项目编码、项目名称、项目特征、计量单位和工程量，填报综合单价，并将该表合价合计金额计入投标总价。</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⑸.计划施工总工期相比按《深圳市建设工程施工工期标准》计算所得标准工期压缩超过30%时，该清单中列入“夜间施工费和赶工措施费”，该费用为工期压缩导致施工投入增加的补偿。编制招标控制价时，招标人将按现行的《深圳市建设工程计价费率标准》中的费率确定“夜间施工费和赶工措施费”费用，计入招标控制价。</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投标人应当按照本招标文件的规定，结合自身实际及施工组织设计或施工方案，确定投标工期，自主填报夜间施工费和赶工措施费，并计入投标总价。</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9、对“其他项目清单”的说明和报价要求：</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(1)材料设备暂估价指招标人提供的用于支付必然发生但暂时不能确定价格的材料、设备的清单。投标时，投标人应将材料设备</w:t>
      </w:r>
      <w:proofErr w:type="gramStart"/>
      <w:r>
        <w:rPr>
          <w:rFonts w:ascii="新宋体" w:eastAsia="新宋体" w:hAnsi="新宋体" w:hint="eastAsia"/>
          <w:bCs/>
          <w:snapToGrid w:val="0"/>
          <w:kern w:val="0"/>
          <w:szCs w:val="21"/>
          <w:lang w:val="zh-CN"/>
        </w:rPr>
        <w:t>的暂估单价</w:t>
      </w:r>
      <w:proofErr w:type="gramEnd"/>
      <w:r>
        <w:rPr>
          <w:rFonts w:ascii="新宋体" w:eastAsia="新宋体" w:hAnsi="新宋体" w:hint="eastAsia"/>
          <w:bCs/>
          <w:snapToGrid w:val="0"/>
          <w:kern w:val="0"/>
          <w:szCs w:val="21"/>
          <w:lang w:val="zh-CN"/>
        </w:rPr>
        <w:t>计入分部分项工程量清单综合单价报价中。结算时，按发、承包双方最终确认的价格调整价差，价差部分不计利润。</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(2)计日工指招标人提出的施工图纸以外的</w:t>
      </w:r>
      <w:proofErr w:type="gramStart"/>
      <w:r>
        <w:rPr>
          <w:rFonts w:ascii="新宋体" w:eastAsia="新宋体" w:hAnsi="新宋体" w:hint="eastAsia"/>
          <w:bCs/>
          <w:snapToGrid w:val="0"/>
          <w:kern w:val="0"/>
          <w:szCs w:val="21"/>
          <w:lang w:val="zh-CN"/>
        </w:rPr>
        <w:t>零星项目</w:t>
      </w:r>
      <w:proofErr w:type="gramEnd"/>
      <w:r>
        <w:rPr>
          <w:rFonts w:ascii="新宋体" w:eastAsia="新宋体" w:hAnsi="新宋体" w:hint="eastAsia"/>
          <w:bCs/>
          <w:snapToGrid w:val="0"/>
          <w:kern w:val="0"/>
          <w:szCs w:val="21"/>
          <w:lang w:val="zh-CN"/>
        </w:rPr>
        <w:t>或工作。投标时，投标人应根据招标人提出的计日工表的要求自主确定综合单价，计算汇总后计入其他项目清单汇总表。</w:t>
      </w:r>
    </w:p>
    <w:p w:rsidR="00E12AD6" w:rsidRDefault="00E12AD6" w:rsidP="00E12AD6">
      <w:pPr>
        <w:spacing w:line="360" w:lineRule="auto"/>
        <w:rPr>
          <w:rFonts w:ascii="新宋体" w:eastAsia="新宋体" w:hAnsi="新宋体" w:hint="eastAsia"/>
          <w:bCs/>
          <w:snapToGrid w:val="0"/>
          <w:kern w:val="0"/>
          <w:szCs w:val="21"/>
          <w:lang w:val="zh-CN"/>
        </w:rPr>
      </w:pPr>
      <w:r>
        <w:rPr>
          <w:rFonts w:ascii="新宋体" w:eastAsia="新宋体" w:hAnsi="新宋体" w:hint="eastAsia"/>
          <w:bCs/>
          <w:snapToGrid w:val="0"/>
          <w:kern w:val="0"/>
          <w:szCs w:val="21"/>
          <w:lang w:val="zh-CN"/>
        </w:rPr>
        <w:t>(3)总承包服务费包括分包管理费、总分包配合费、发包人供应材料设备保管费。投标时，投标人根据招标人提出的分包专业工程内容和供应材料、设备情况，按照招标人提出的协调、配合与服务内容和施工现场管理需要，自主确定总承包服务费各项目费率。其中分包管理费</w:t>
      </w:r>
      <w:r>
        <w:rPr>
          <w:rFonts w:ascii="新宋体" w:eastAsia="新宋体" w:hAnsi="新宋体" w:hint="eastAsia"/>
          <w:bCs/>
          <w:snapToGrid w:val="0"/>
          <w:kern w:val="0"/>
          <w:szCs w:val="21"/>
          <w:lang w:val="zh-CN"/>
        </w:rPr>
        <w:lastRenderedPageBreak/>
        <w:t>和总分包配合费以分包工程合同造价为计算基数；发包人供应材料设备保管费应根据“发包人供应材料设备明细表”中合计金额为计算基数。</w:t>
      </w:r>
    </w:p>
    <w:p w:rsidR="00E12AD6" w:rsidRDefault="00E12AD6" w:rsidP="00E12AD6">
      <w:pPr>
        <w:spacing w:line="360" w:lineRule="auto"/>
        <w:rPr>
          <w:rFonts w:ascii="新宋体" w:eastAsia="新宋体" w:hAnsi="新宋体" w:hint="eastAsia"/>
        </w:rPr>
      </w:pPr>
      <w:r>
        <w:rPr>
          <w:rFonts w:ascii="新宋体" w:eastAsia="新宋体" w:hAnsi="新宋体" w:hint="eastAsia"/>
          <w:bCs/>
          <w:snapToGrid w:val="0"/>
          <w:kern w:val="0"/>
          <w:szCs w:val="21"/>
          <w:lang w:val="zh-CN"/>
        </w:rPr>
        <w:t xml:space="preserve">    10、工程量清单作为本招标文件的组成部分，其准确性和完整性由招标人负责。如发现招标人提供的工程量清单的项目及工程量与图纸实际不符时，除招标文件另有要求外，投标人应在答疑期间提出，采购人应进行复核并在网上发出修正。如没有做出修正，投标人仍应按</w:t>
      </w:r>
      <w:proofErr w:type="gramStart"/>
      <w:r>
        <w:rPr>
          <w:rFonts w:ascii="新宋体" w:eastAsia="新宋体" w:hAnsi="新宋体" w:hint="eastAsia"/>
          <w:bCs/>
          <w:snapToGrid w:val="0"/>
          <w:kern w:val="0"/>
          <w:szCs w:val="21"/>
          <w:lang w:val="zh-CN"/>
        </w:rPr>
        <w:t>原提供</w:t>
      </w:r>
      <w:proofErr w:type="gramEnd"/>
      <w:r>
        <w:rPr>
          <w:rFonts w:ascii="新宋体" w:eastAsia="新宋体" w:hAnsi="新宋体" w:hint="eastAsia"/>
          <w:bCs/>
          <w:snapToGrid w:val="0"/>
          <w:kern w:val="0"/>
          <w:szCs w:val="21"/>
          <w:lang w:val="zh-CN"/>
        </w:rPr>
        <w:t>的项目及工程量报价，并</w:t>
      </w:r>
      <w:proofErr w:type="gramStart"/>
      <w:r>
        <w:rPr>
          <w:rFonts w:ascii="新宋体" w:eastAsia="新宋体" w:hAnsi="新宋体" w:hint="eastAsia"/>
          <w:bCs/>
          <w:snapToGrid w:val="0"/>
          <w:kern w:val="0"/>
          <w:szCs w:val="21"/>
          <w:lang w:val="zh-CN"/>
        </w:rPr>
        <w:t>将项差与</w:t>
      </w:r>
      <w:proofErr w:type="gramEnd"/>
      <w:r>
        <w:rPr>
          <w:rFonts w:ascii="新宋体" w:eastAsia="新宋体" w:hAnsi="新宋体" w:hint="eastAsia"/>
          <w:bCs/>
          <w:snapToGrid w:val="0"/>
          <w:kern w:val="0"/>
          <w:szCs w:val="21"/>
          <w:lang w:val="zh-CN"/>
        </w:rPr>
        <w:t>量差体现在报价中，并在备注中注明，但不得对工程量清单进行修改</w:t>
      </w:r>
      <w:r>
        <w:rPr>
          <w:rFonts w:ascii="新宋体" w:eastAsia="新宋体" w:hAnsi="新宋体" w:hint="eastAsia"/>
        </w:rPr>
        <w:t>。</w:t>
      </w: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t xml:space="preserve">九、项目商务要求 </w:t>
      </w:r>
    </w:p>
    <w:p w:rsidR="00E12AD6" w:rsidRDefault="00E12AD6" w:rsidP="00E12AD6">
      <w:pPr>
        <w:pStyle w:val="Default"/>
        <w:spacing w:line="360" w:lineRule="auto"/>
        <w:rPr>
          <w:rFonts w:hint="eastAsia"/>
          <w:b/>
          <w:color w:val="auto"/>
          <w:sz w:val="22"/>
          <w:szCs w:val="21"/>
        </w:rPr>
      </w:pPr>
      <w:r>
        <w:rPr>
          <w:rFonts w:hint="eastAsia"/>
          <w:b/>
          <w:color w:val="auto"/>
          <w:sz w:val="22"/>
          <w:szCs w:val="21"/>
        </w:rPr>
        <w:t>（一）付款方式</w:t>
      </w:r>
    </w:p>
    <w:p w:rsidR="00E12AD6" w:rsidRDefault="00E12AD6" w:rsidP="00E12AD6">
      <w:pPr>
        <w:spacing w:line="360" w:lineRule="auto"/>
        <w:rPr>
          <w:rFonts w:ascii="新宋体" w:eastAsia="新宋体" w:hAnsi="新宋体"/>
        </w:rPr>
      </w:pPr>
      <w:r>
        <w:rPr>
          <w:rFonts w:ascii="新宋体" w:eastAsia="新宋体" w:hAnsi="新宋体" w:hint="eastAsia"/>
        </w:rPr>
        <w:t>1、付款原则：工程进度</w:t>
      </w:r>
      <w:proofErr w:type="gramStart"/>
      <w:r>
        <w:rPr>
          <w:rFonts w:ascii="新宋体" w:eastAsia="新宋体" w:hAnsi="新宋体" w:hint="eastAsia"/>
        </w:rPr>
        <w:t>款根据</w:t>
      </w:r>
      <w:proofErr w:type="gramEnd"/>
      <w:r>
        <w:rPr>
          <w:rFonts w:ascii="新宋体" w:eastAsia="新宋体" w:hAnsi="新宋体" w:hint="eastAsia"/>
        </w:rPr>
        <w:t>市财政拨款情况、监督、监理情况分期付给。由于投标单位原因造成工程款不能支付，责任由投标单位承担。</w:t>
      </w:r>
    </w:p>
    <w:p w:rsidR="00E12AD6" w:rsidRDefault="00E12AD6" w:rsidP="00E12AD6">
      <w:pPr>
        <w:spacing w:line="360" w:lineRule="auto"/>
        <w:rPr>
          <w:rFonts w:ascii="新宋体" w:eastAsia="新宋体" w:hAnsi="新宋体" w:hint="eastAsia"/>
        </w:rPr>
      </w:pPr>
      <w:r>
        <w:rPr>
          <w:rFonts w:ascii="新宋体" w:eastAsia="新宋体" w:hAnsi="新宋体" w:hint="eastAsia"/>
        </w:rPr>
        <w:t>2、预付款的支付：本工程开工预付款为合同价的</w:t>
      </w:r>
      <w:r>
        <w:rPr>
          <w:rFonts w:ascii="新宋体" w:eastAsia="新宋体" w:hAnsi="新宋体" w:hint="eastAsia"/>
          <w:u w:val="single"/>
        </w:rPr>
        <w:t xml:space="preserve"> 20</w:t>
      </w:r>
      <w:r>
        <w:rPr>
          <w:rFonts w:ascii="新宋体" w:eastAsia="新宋体" w:hAnsi="新宋体" w:hint="eastAsia"/>
        </w:rPr>
        <w:t xml:space="preserve"> % ，在本合同协议书签订生效且中标人提交开工预付款担保后，并经监理工程师签发的开工预付款证书报采购人后14天内，办理支付手续并提交给相关付款部门。</w:t>
      </w:r>
    </w:p>
    <w:p w:rsidR="00E12AD6" w:rsidRDefault="00E12AD6" w:rsidP="00E12AD6">
      <w:pPr>
        <w:spacing w:line="360" w:lineRule="auto"/>
        <w:rPr>
          <w:rFonts w:ascii="新宋体" w:eastAsia="新宋体" w:hAnsi="新宋体" w:hint="eastAsia"/>
        </w:rPr>
      </w:pPr>
      <w:r>
        <w:rPr>
          <w:rFonts w:ascii="新宋体" w:eastAsia="新宋体" w:hAnsi="新宋体" w:hint="eastAsia"/>
        </w:rPr>
        <w:t xml:space="preserve">3、工程进度款的支付：  </w:t>
      </w:r>
    </w:p>
    <w:p w:rsidR="00E12AD6" w:rsidRDefault="00E12AD6" w:rsidP="00E12AD6">
      <w:pPr>
        <w:spacing w:line="360" w:lineRule="auto"/>
        <w:rPr>
          <w:rFonts w:ascii="新宋体" w:eastAsia="新宋体" w:hAnsi="新宋体" w:hint="eastAsia"/>
        </w:rPr>
      </w:pPr>
      <w:r>
        <w:rPr>
          <w:rFonts w:ascii="新宋体" w:eastAsia="新宋体" w:hAnsi="新宋体" w:hint="eastAsia"/>
        </w:rPr>
        <w:t>（1） 完成合同承包工程量所对应合同总价（不含暂列金额）的60%时，经发包人验收合格后，在完成</w:t>
      </w:r>
      <w:proofErr w:type="gramStart"/>
      <w:r>
        <w:rPr>
          <w:rFonts w:ascii="新宋体" w:eastAsia="新宋体" w:hAnsi="新宋体" w:hint="eastAsia"/>
        </w:rPr>
        <w:t>当月内</w:t>
      </w:r>
      <w:proofErr w:type="gramEnd"/>
      <w:r>
        <w:rPr>
          <w:rFonts w:ascii="新宋体" w:eastAsia="新宋体" w:hAnsi="新宋体" w:hint="eastAsia"/>
        </w:rPr>
        <w:t>支付至合同暂定总价（不含暂列金额）40%的进度款。</w:t>
      </w:r>
    </w:p>
    <w:p w:rsidR="00E12AD6" w:rsidRDefault="00E12AD6" w:rsidP="00E12AD6">
      <w:pPr>
        <w:spacing w:line="360" w:lineRule="auto"/>
        <w:rPr>
          <w:rFonts w:ascii="新宋体" w:eastAsia="新宋体" w:hAnsi="新宋体" w:hint="eastAsia"/>
        </w:rPr>
      </w:pPr>
      <w:r>
        <w:rPr>
          <w:rFonts w:ascii="新宋体" w:eastAsia="新宋体" w:hAnsi="新宋体" w:hint="eastAsia"/>
        </w:rPr>
        <w:t>（2）工程竣工并验收合格，经甲方审定后15个工作日内支付至合同价（不含暂列金额）的80%。</w:t>
      </w:r>
    </w:p>
    <w:p w:rsidR="00E12AD6" w:rsidRDefault="00E12AD6" w:rsidP="00E12AD6">
      <w:pPr>
        <w:spacing w:line="360" w:lineRule="auto"/>
        <w:rPr>
          <w:rFonts w:ascii="新宋体" w:eastAsia="新宋体" w:hAnsi="新宋体" w:hint="eastAsia"/>
        </w:rPr>
      </w:pPr>
      <w:r>
        <w:rPr>
          <w:rFonts w:ascii="新宋体" w:eastAsia="新宋体" w:hAnsi="新宋体" w:hint="eastAsia"/>
        </w:rPr>
        <w:t>（3）工程竣工结算完毕，竣工资料交付且提供质量保证函（合同额5%的银行保函）后20个工作日内支付至结算价的100%。</w:t>
      </w:r>
    </w:p>
    <w:p w:rsidR="00E12AD6" w:rsidRDefault="00E12AD6" w:rsidP="00E12AD6">
      <w:pPr>
        <w:spacing w:line="360" w:lineRule="auto"/>
        <w:rPr>
          <w:rFonts w:ascii="新宋体" w:eastAsia="新宋体" w:hAnsi="新宋体" w:hint="eastAsia"/>
        </w:rPr>
      </w:pPr>
      <w:r>
        <w:rPr>
          <w:rFonts w:ascii="新宋体" w:eastAsia="新宋体" w:hAnsi="新宋体" w:hint="eastAsia"/>
        </w:rPr>
        <w:t xml:space="preserve">（4）发包人每次支付工程款时承包人均需开具正规合法建安工程增值税普通发票，承包人应在合同工程项目所在地主管税务机关代开。     </w:t>
      </w:r>
    </w:p>
    <w:p w:rsidR="00E12AD6" w:rsidRDefault="00E12AD6" w:rsidP="00E12AD6">
      <w:pPr>
        <w:pStyle w:val="Default"/>
        <w:spacing w:line="360" w:lineRule="auto"/>
        <w:rPr>
          <w:rFonts w:hint="eastAsia"/>
          <w:b/>
          <w:color w:val="auto"/>
          <w:sz w:val="22"/>
          <w:szCs w:val="21"/>
        </w:rPr>
      </w:pPr>
      <w:r>
        <w:rPr>
          <w:rFonts w:hint="eastAsia"/>
          <w:b/>
          <w:color w:val="auto"/>
          <w:sz w:val="22"/>
          <w:szCs w:val="21"/>
        </w:rPr>
        <w:t>（二）项目保修要求</w:t>
      </w:r>
    </w:p>
    <w:p w:rsidR="00E12AD6" w:rsidRDefault="00E12AD6" w:rsidP="00E12AD6">
      <w:pPr>
        <w:pStyle w:val="Default"/>
        <w:spacing w:line="360" w:lineRule="auto"/>
        <w:rPr>
          <w:rFonts w:ascii="新宋体" w:eastAsia="新宋体" w:hAnsi="新宋体" w:cs="Times New Roman" w:hint="eastAsia"/>
          <w:color w:val="auto"/>
          <w:kern w:val="2"/>
          <w:sz w:val="21"/>
        </w:rPr>
      </w:pPr>
      <w:r>
        <w:rPr>
          <w:rFonts w:ascii="新宋体" w:eastAsia="新宋体" w:hAnsi="新宋体" w:cs="Times New Roman" w:hint="eastAsia"/>
          <w:color w:val="auto"/>
          <w:kern w:val="2"/>
          <w:sz w:val="21"/>
        </w:rPr>
        <w:t>根据《住房城乡建设部  财政部关于印发建设工程质量保证金管理办法的通知(建质[2017]138号)》意见，装修保修期为二年，防水保修期为五年，保修质保金为合同金额的3%。</w:t>
      </w:r>
    </w:p>
    <w:p w:rsidR="00E12AD6" w:rsidRDefault="00E12AD6" w:rsidP="00E12AD6">
      <w:pPr>
        <w:pStyle w:val="Default"/>
        <w:spacing w:line="360" w:lineRule="auto"/>
        <w:rPr>
          <w:rFonts w:ascii="新宋体" w:eastAsia="新宋体" w:hAnsi="新宋体" w:cs="Times New Roman" w:hint="eastAsia"/>
          <w:color w:val="auto"/>
          <w:kern w:val="2"/>
          <w:sz w:val="21"/>
        </w:rPr>
      </w:pPr>
      <w:r>
        <w:rPr>
          <w:rFonts w:ascii="新宋体" w:eastAsia="新宋体" w:hAnsi="新宋体" w:cs="Times New Roman" w:hint="eastAsia"/>
          <w:color w:val="auto"/>
          <w:kern w:val="2"/>
          <w:sz w:val="21"/>
        </w:rPr>
        <w:t xml:space="preserve"> 验收标准：符合国家相关规定。</w:t>
      </w:r>
    </w:p>
    <w:p w:rsidR="00E12AD6" w:rsidRDefault="00E12AD6" w:rsidP="00E12AD6">
      <w:pPr>
        <w:pStyle w:val="Default"/>
        <w:spacing w:line="360" w:lineRule="auto"/>
        <w:rPr>
          <w:rFonts w:ascii="新宋体" w:eastAsia="新宋体" w:hAnsi="新宋体" w:cs="Times New Roman" w:hint="eastAsia"/>
          <w:color w:val="auto"/>
          <w:kern w:val="2"/>
          <w:sz w:val="21"/>
        </w:rPr>
      </w:pPr>
      <w:r>
        <w:rPr>
          <w:rFonts w:ascii="新宋体" w:eastAsia="新宋体" w:hAnsi="新宋体" w:cs="Times New Roman" w:hint="eastAsia"/>
          <w:color w:val="auto"/>
          <w:kern w:val="2"/>
          <w:sz w:val="21"/>
        </w:rPr>
        <w:t>服务响应时间：1个工作日内</w:t>
      </w:r>
    </w:p>
    <w:p w:rsidR="00E12AD6" w:rsidRDefault="00E12AD6" w:rsidP="00E12AD6">
      <w:pPr>
        <w:pStyle w:val="Default"/>
        <w:spacing w:line="360" w:lineRule="auto"/>
        <w:rPr>
          <w:rFonts w:hint="eastAsia"/>
          <w:b/>
          <w:color w:val="auto"/>
          <w:sz w:val="22"/>
          <w:szCs w:val="21"/>
        </w:rPr>
      </w:pPr>
      <w:r>
        <w:rPr>
          <w:rFonts w:hint="eastAsia"/>
          <w:b/>
          <w:color w:val="auto"/>
          <w:sz w:val="22"/>
          <w:szCs w:val="21"/>
        </w:rPr>
        <w:lastRenderedPageBreak/>
        <w:t>（三）质量考核验收标准及违约金</w:t>
      </w:r>
    </w:p>
    <w:p w:rsidR="00E12AD6" w:rsidRDefault="00E12AD6" w:rsidP="00E12AD6">
      <w:pPr>
        <w:spacing w:line="360" w:lineRule="auto"/>
        <w:rPr>
          <w:rFonts w:ascii="新宋体" w:eastAsia="新宋体" w:hAnsi="新宋体" w:hint="eastAsia"/>
        </w:rPr>
      </w:pPr>
      <w:r>
        <w:rPr>
          <w:rFonts w:ascii="新宋体" w:eastAsia="新宋体" w:hAnsi="新宋体" w:hint="eastAsia"/>
        </w:rPr>
        <w:t>1、质量考核验收标准：工程项目竣工后，建设单位会同设计、施工、监理单位及工程质量监督部门，对该项目是否符合规划设计要求以及建筑施工和设备安装质量进行全面检验，工程质量要求达到 GB 50210-2018《建筑装饰装修工程质量验收标准》 期限按合同约定为准 。</w:t>
      </w:r>
    </w:p>
    <w:p w:rsidR="00E12AD6" w:rsidRDefault="00E12AD6" w:rsidP="00E12AD6">
      <w:pPr>
        <w:spacing w:line="360" w:lineRule="auto"/>
      </w:pPr>
      <w:r>
        <w:rPr>
          <w:rFonts w:ascii="新宋体" w:eastAsia="新宋体" w:hAnsi="新宋体" w:hint="eastAsia"/>
        </w:rPr>
        <w:t>2、违约金：合同10%</w:t>
      </w:r>
    </w:p>
    <w:p w:rsidR="00E12AD6" w:rsidRDefault="00E12AD6" w:rsidP="00E12AD6">
      <w:pPr>
        <w:pStyle w:val="3"/>
        <w:rPr>
          <w:rFonts w:ascii="新宋体" w:eastAsia="新宋体" w:hAnsi="新宋体" w:hint="eastAsia"/>
          <w:kern w:val="44"/>
          <w:szCs w:val="28"/>
        </w:rPr>
      </w:pPr>
      <w:r>
        <w:rPr>
          <w:rFonts w:ascii="新宋体" w:eastAsia="新宋体" w:hAnsi="新宋体" w:hint="eastAsia"/>
          <w:kern w:val="44"/>
          <w:szCs w:val="28"/>
        </w:rPr>
        <w:t>十、投标报价</w:t>
      </w:r>
    </w:p>
    <w:p w:rsidR="00E12AD6" w:rsidRDefault="00E12AD6" w:rsidP="00E12AD6">
      <w:pPr>
        <w:spacing w:line="360" w:lineRule="auto"/>
        <w:rPr>
          <w:rFonts w:ascii="新宋体" w:eastAsia="新宋体" w:hAnsi="新宋体" w:hint="eastAsia"/>
        </w:rPr>
      </w:pPr>
      <w:r>
        <w:rPr>
          <w:rFonts w:ascii="新宋体" w:eastAsia="新宋体" w:hAnsi="新宋体" w:hint="eastAsia"/>
        </w:rPr>
        <w:t>1、本工程的工程量清单的投标单价按综合单价方式进行报价；</w:t>
      </w:r>
    </w:p>
    <w:p w:rsidR="00E12AD6" w:rsidRDefault="00E12AD6" w:rsidP="00E12AD6">
      <w:pPr>
        <w:spacing w:line="360" w:lineRule="auto"/>
        <w:rPr>
          <w:rFonts w:ascii="新宋体" w:eastAsia="新宋体" w:hAnsi="新宋体" w:hint="eastAsia"/>
        </w:rPr>
      </w:pPr>
      <w:r>
        <w:rPr>
          <w:rFonts w:ascii="新宋体" w:eastAsia="新宋体" w:hAnsi="新宋体" w:hint="eastAsia"/>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12AD6" w:rsidRDefault="00E12AD6" w:rsidP="00E12AD6">
      <w:pPr>
        <w:spacing w:line="360" w:lineRule="auto"/>
        <w:rPr>
          <w:rFonts w:ascii="新宋体" w:eastAsia="新宋体" w:hAnsi="新宋体" w:hint="eastAsia"/>
        </w:rPr>
      </w:pPr>
      <w:r>
        <w:rPr>
          <w:rFonts w:ascii="新宋体" w:eastAsia="新宋体" w:hAnsi="新宋体" w:hint="eastAsia"/>
        </w:rPr>
        <w:t>3、投标人的投标报价，应是本项目招标范围和招标文件及合同条款上所列的各项内容中所述的全部，不得以任何理由予以重复，并以投标人在工程量清单中提出的综合单价或总价为依据；</w:t>
      </w:r>
    </w:p>
    <w:p w:rsidR="00E12AD6" w:rsidRDefault="00E12AD6" w:rsidP="00E12AD6">
      <w:pPr>
        <w:spacing w:line="360" w:lineRule="auto"/>
        <w:rPr>
          <w:rFonts w:ascii="新宋体" w:eastAsia="新宋体" w:hAnsi="新宋体" w:hint="eastAsia"/>
        </w:rPr>
      </w:pPr>
      <w:r>
        <w:rPr>
          <w:rFonts w:ascii="新宋体" w:eastAsia="新宋体" w:hAnsi="新宋体" w:hint="eastAsia"/>
        </w:rPr>
        <w:t>4、除非政府集中采购机构通过修改招标文件予以更正，否则，投标人应毫无例外地按工程量清单中列出的工程项目和数量填报综合单价和合价。投标人未</w:t>
      </w:r>
      <w:proofErr w:type="gramStart"/>
      <w:r>
        <w:rPr>
          <w:rFonts w:ascii="新宋体" w:eastAsia="新宋体" w:hAnsi="新宋体" w:hint="eastAsia"/>
        </w:rPr>
        <w:t>填综合</w:t>
      </w:r>
      <w:proofErr w:type="gramEnd"/>
      <w:r>
        <w:rPr>
          <w:rFonts w:ascii="新宋体" w:eastAsia="新宋体" w:hAnsi="新宋体" w:hint="eastAsia"/>
        </w:rPr>
        <w:t>单价或合价的项目，在实施后，将不得以支付，并视作该项费用已包括在其它有价款的综合单价或合价内；</w:t>
      </w:r>
    </w:p>
    <w:p w:rsidR="00E12AD6" w:rsidRDefault="00E12AD6" w:rsidP="00E12AD6">
      <w:pPr>
        <w:spacing w:line="360" w:lineRule="auto"/>
        <w:rPr>
          <w:rFonts w:ascii="新宋体" w:eastAsia="新宋体" w:hAnsi="新宋体" w:hint="eastAsia"/>
        </w:rPr>
      </w:pPr>
      <w:r>
        <w:rPr>
          <w:rFonts w:ascii="新宋体" w:eastAsia="新宋体" w:hAnsi="新宋体" w:hint="eastAsia"/>
        </w:rPr>
        <w:t>5、投标人应先到工地踏勘以充分了解工地的位置、情况、道路、储存空间、装卸限制及任何其它足以影响投标报价的情况，任何因忽视或误解工地情况而导致的索赔或工期延长申请将不获批准；</w:t>
      </w:r>
    </w:p>
    <w:p w:rsidR="00E12AD6" w:rsidRDefault="00E12AD6" w:rsidP="00E12AD6">
      <w:pPr>
        <w:spacing w:line="360" w:lineRule="auto"/>
        <w:rPr>
          <w:rFonts w:ascii="新宋体" w:eastAsia="新宋体" w:hAnsi="新宋体" w:hint="eastAsia"/>
        </w:rPr>
      </w:pPr>
      <w:r>
        <w:rPr>
          <w:rFonts w:ascii="新宋体" w:eastAsia="新宋体" w:hAnsi="新宋体" w:hint="eastAsia"/>
        </w:rPr>
        <w:t>6、投标人不得期望通过索赔、签证等方式获取补偿，否则，除可能遭到拒绝外，还可能将被作为不良行为记录在案，并可能影响其以后参加政府采购的项目投标。各投标人在投标报价时，应充分考虑投标报价的风险。</w:t>
      </w:r>
    </w:p>
    <w:p w:rsidR="00E12AD6" w:rsidRDefault="00E12AD6" w:rsidP="00E12AD6">
      <w:pPr>
        <w:spacing w:line="360" w:lineRule="auto"/>
        <w:rPr>
          <w:rFonts w:ascii="新宋体" w:eastAsia="新宋体" w:hAnsi="新宋体" w:hint="eastAsia"/>
        </w:rPr>
      </w:pPr>
      <w:r>
        <w:rPr>
          <w:rFonts w:ascii="新宋体" w:eastAsia="新宋体" w:hAnsi="新宋体" w:hint="eastAsia"/>
        </w:rPr>
        <w:t>7、投标人投标报价总额一经中标后，即作为中标单位与采购单位签订该项目合同的总价。合同方式见第一章相关条款。</w:t>
      </w:r>
    </w:p>
    <w:p w:rsidR="00E12AD6" w:rsidRDefault="00E12AD6" w:rsidP="00E12AD6">
      <w:pPr>
        <w:spacing w:line="360" w:lineRule="auto"/>
        <w:rPr>
          <w:rFonts w:ascii="新宋体" w:eastAsia="新宋体" w:hAnsi="新宋体" w:hint="eastAsia"/>
        </w:rPr>
      </w:pPr>
      <w:r>
        <w:rPr>
          <w:rFonts w:ascii="新宋体" w:eastAsia="新宋体" w:hAnsi="新宋体" w:hint="eastAsia"/>
        </w:rPr>
        <w:t>（1）如本项目采用固定总价合同。投标人所投报的投标报价为图纸内容与工程量清单的总包干价格，对没有填写综合单价与合价的项目费用，应视为已包括在工程量清单的其他综合</w:t>
      </w:r>
      <w:r>
        <w:rPr>
          <w:rFonts w:ascii="新宋体" w:eastAsia="新宋体" w:hAnsi="新宋体" w:hint="eastAsia"/>
        </w:rPr>
        <w:lastRenderedPageBreak/>
        <w:t>单价与合价之中。如有工程量清单未包含图纸内容的漏项，视同已包含在其他项目中，总价与单价不予调整。</w:t>
      </w:r>
    </w:p>
    <w:p w:rsidR="00E12AD6" w:rsidRDefault="00E12AD6" w:rsidP="00E12AD6">
      <w:pPr>
        <w:spacing w:line="360" w:lineRule="auto"/>
        <w:rPr>
          <w:rFonts w:ascii="新宋体" w:eastAsia="新宋体" w:hAnsi="新宋体" w:hint="eastAsia"/>
        </w:rPr>
      </w:pPr>
      <w:r>
        <w:rPr>
          <w:rFonts w:ascii="新宋体" w:eastAsia="新宋体" w:hAnsi="新宋体" w:hint="eastAsia"/>
        </w:rPr>
        <w:t>（2）如本项目采用固定单价合同。工程量清单所列的</w:t>
      </w:r>
      <w:proofErr w:type="gramStart"/>
      <w:r>
        <w:rPr>
          <w:rFonts w:ascii="新宋体" w:eastAsia="新宋体" w:hAnsi="新宋体" w:hint="eastAsia"/>
        </w:rPr>
        <w:t>工程量系采购</w:t>
      </w:r>
      <w:proofErr w:type="gramEnd"/>
      <w:r>
        <w:rPr>
          <w:rFonts w:ascii="新宋体" w:eastAsia="新宋体" w:hAnsi="新宋体" w:hint="eastAsia"/>
        </w:rPr>
        <w:t>单位的估算，是临时的，作为投标报价的共同基础，不应被理解为是对采购单位要求工作内容的全部定义，也不能作为投标人应完成的实际工程量。承包人必须按图纸及有关标准、规范的要求进行施工，实际完成的工程量与分部分项工程量清单中的差异结算时可作调整。凡超出图纸范围又未经变更审批程序的内容，都不予计量；未施工的项目，经监理工程师核实后予以扣减。</w:t>
      </w:r>
    </w:p>
    <w:p w:rsidR="00E12AD6" w:rsidRDefault="00E12AD6" w:rsidP="00E12AD6">
      <w:pPr>
        <w:spacing w:line="360" w:lineRule="auto"/>
        <w:rPr>
          <w:rFonts w:ascii="新宋体" w:eastAsia="新宋体" w:hAnsi="新宋体" w:hint="eastAsia"/>
        </w:rPr>
      </w:pPr>
      <w:r>
        <w:rPr>
          <w:rFonts w:ascii="新宋体" w:eastAsia="新宋体" w:hAnsi="新宋体" w:hint="eastAsia"/>
        </w:rPr>
        <w:t>（3）投标人的投标报价必须充分考虑到在施工中实施的施工组织设计对工程造价的影响,并在投标报价中反映出来。</w:t>
      </w:r>
    </w:p>
    <w:p w:rsidR="00E12AD6" w:rsidRDefault="00E12AD6" w:rsidP="00E12AD6">
      <w:pPr>
        <w:spacing w:line="360" w:lineRule="auto"/>
        <w:rPr>
          <w:rFonts w:ascii="新宋体" w:eastAsia="新宋体" w:hAnsi="新宋体" w:hint="eastAsia"/>
        </w:rPr>
      </w:pPr>
      <w:r>
        <w:rPr>
          <w:rFonts w:ascii="新宋体" w:eastAsia="新宋体" w:hAnsi="新宋体" w:hint="eastAsia"/>
        </w:rPr>
        <w:t>8、本项目不接受总价优惠折扣形式的报价，投标人应将对项目的优惠直接在清单报价中体现出来。</w:t>
      </w:r>
    </w:p>
    <w:p w:rsidR="00E12AD6" w:rsidRDefault="00E12AD6" w:rsidP="00E12AD6">
      <w:pPr>
        <w:spacing w:line="360" w:lineRule="auto"/>
        <w:rPr>
          <w:rFonts w:ascii="新宋体" w:eastAsia="新宋体" w:hAnsi="新宋体" w:hint="eastAsia"/>
        </w:rPr>
      </w:pPr>
      <w:r>
        <w:rPr>
          <w:rFonts w:ascii="新宋体" w:eastAsia="新宋体" w:hAnsi="新宋体" w:hint="eastAsia"/>
        </w:rPr>
        <w:t>9、采购单位委托承包人办理的保险事项：建设工程一切险和第三者责任险，所需的保险费应包含在投标价中，施工中若发生安全事故，一切责任及费用由施工单位负责。</w:t>
      </w:r>
    </w:p>
    <w:p w:rsidR="00E12AD6" w:rsidRDefault="00E12AD6" w:rsidP="00E12AD6">
      <w:pPr>
        <w:spacing w:line="360" w:lineRule="auto"/>
        <w:rPr>
          <w:rFonts w:ascii="新宋体" w:eastAsia="新宋体" w:hAnsi="新宋体" w:hint="eastAsia"/>
        </w:rPr>
      </w:pPr>
      <w:r>
        <w:rPr>
          <w:rFonts w:ascii="新宋体" w:eastAsia="新宋体" w:hAnsi="新宋体" w:hint="eastAsia"/>
        </w:rPr>
        <w:t>10、工程完工后，承包人应恢复修建前的原有状态（工程量按实计算），并使监理工程师和采购单位满意，满足政府管理部门的规定和要求。</w:t>
      </w:r>
    </w:p>
    <w:p w:rsidR="00E12AD6" w:rsidRDefault="00E12AD6" w:rsidP="00E12AD6">
      <w:pPr>
        <w:spacing w:line="360" w:lineRule="auto"/>
        <w:rPr>
          <w:rFonts w:ascii="新宋体" w:eastAsia="新宋体" w:hAnsi="新宋体" w:hint="eastAsia"/>
        </w:rPr>
      </w:pPr>
      <w:r>
        <w:rPr>
          <w:rFonts w:ascii="新宋体" w:eastAsia="新宋体" w:hAnsi="新宋体" w:hint="eastAsia"/>
        </w:rPr>
        <w:t>11、如本工程涉及取土和弃土项目，地点、时间、路线承包人应取得国土、城管部门的同意，不得由此带给采购人任何费用的增加。凡是因承包人措施不当而引起的罚款、索赔和指控等由承包人自行承担。投标价不因取土或弃土实际运距与分部分项工程量清单不同而作调整。土方回填料必须满足国家技术规范之要求，绿化填土面层必须选用适宜种植的填土。</w:t>
      </w:r>
    </w:p>
    <w:p w:rsidR="00E12AD6" w:rsidRDefault="00E12AD6" w:rsidP="00E12AD6">
      <w:pPr>
        <w:spacing w:line="360" w:lineRule="auto"/>
        <w:rPr>
          <w:rFonts w:ascii="新宋体" w:eastAsia="新宋体" w:hAnsi="新宋体" w:hint="eastAsia"/>
        </w:rPr>
      </w:pPr>
      <w:r>
        <w:rPr>
          <w:rFonts w:ascii="新宋体" w:eastAsia="新宋体" w:hAnsi="新宋体" w:hint="eastAsia"/>
        </w:rPr>
        <w:t>12、一切与施工相关的检验实验费（政府有关部门规定由建设单位支付的检验实验费除外）已含在投标价中。</w:t>
      </w:r>
    </w:p>
    <w:p w:rsidR="00E12AD6" w:rsidRDefault="00E12AD6" w:rsidP="00E12AD6">
      <w:pPr>
        <w:spacing w:line="360" w:lineRule="auto"/>
        <w:rPr>
          <w:rFonts w:ascii="新宋体" w:eastAsia="新宋体" w:hAnsi="新宋体" w:hint="eastAsia"/>
        </w:rPr>
      </w:pPr>
      <w:r>
        <w:rPr>
          <w:rFonts w:ascii="新宋体" w:eastAsia="新宋体" w:hAnsi="新宋体" w:hint="eastAsia"/>
        </w:rPr>
        <w:t>13、承包人的交通维护方案必须保证施工期间的交通组织符合深圳市公安交通管理的有关规定，保证小区车辆运行通畅和施工安全，其费用已含在投标价中。</w:t>
      </w:r>
    </w:p>
    <w:p w:rsidR="00DE1EAD" w:rsidRPr="00E12AD6" w:rsidRDefault="00FA5F1B"/>
    <w:sectPr w:rsidR="00DE1EAD" w:rsidRPr="00E12A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AD6" w:rsidRDefault="00E12AD6" w:rsidP="00E12AD6">
      <w:r>
        <w:separator/>
      </w:r>
    </w:p>
  </w:endnote>
  <w:endnote w:type="continuationSeparator" w:id="0">
    <w:p w:rsidR="00E12AD6" w:rsidRDefault="00E12AD6" w:rsidP="00E1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AD6" w:rsidRDefault="00E12AD6" w:rsidP="00E12AD6">
      <w:r>
        <w:separator/>
      </w:r>
    </w:p>
  </w:footnote>
  <w:footnote w:type="continuationSeparator" w:id="0">
    <w:p w:rsidR="00E12AD6" w:rsidRDefault="00E12AD6" w:rsidP="00E12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1C"/>
    <w:rsid w:val="00231F82"/>
    <w:rsid w:val="00B2221C"/>
    <w:rsid w:val="00DB7420"/>
    <w:rsid w:val="00E12AD6"/>
    <w:rsid w:val="00FA5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D6"/>
    <w:pPr>
      <w:widowControl w:val="0"/>
      <w:jc w:val="both"/>
    </w:pPr>
    <w:rPr>
      <w:rFonts w:ascii="Times New Roman" w:eastAsia="宋体" w:hAnsi="Times New Roman" w:cs="Times New Roman"/>
      <w:szCs w:val="24"/>
    </w:rPr>
  </w:style>
  <w:style w:type="paragraph" w:styleId="2">
    <w:name w:val="heading 2"/>
    <w:basedOn w:val="3"/>
    <w:next w:val="4"/>
    <w:link w:val="2Char"/>
    <w:qFormat/>
    <w:rsid w:val="00E12AD6"/>
    <w:pPr>
      <w:adjustRightInd w:val="0"/>
      <w:jc w:val="center"/>
      <w:textAlignment w:val="baseline"/>
      <w:outlineLvl w:val="1"/>
    </w:pPr>
    <w:rPr>
      <w:kern w:val="0"/>
      <w:sz w:val="24"/>
      <w:szCs w:val="20"/>
    </w:rPr>
  </w:style>
  <w:style w:type="paragraph" w:styleId="3">
    <w:name w:val="heading 3"/>
    <w:basedOn w:val="4"/>
    <w:next w:val="a"/>
    <w:link w:val="3Char1"/>
    <w:qFormat/>
    <w:rsid w:val="00E12AD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12A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2AD6"/>
    <w:rPr>
      <w:sz w:val="18"/>
      <w:szCs w:val="18"/>
    </w:rPr>
  </w:style>
  <w:style w:type="paragraph" w:styleId="a4">
    <w:name w:val="footer"/>
    <w:basedOn w:val="a"/>
    <w:link w:val="Char0"/>
    <w:uiPriority w:val="99"/>
    <w:unhideWhenUsed/>
    <w:rsid w:val="00E12A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2AD6"/>
    <w:rPr>
      <w:sz w:val="18"/>
      <w:szCs w:val="18"/>
    </w:rPr>
  </w:style>
  <w:style w:type="character" w:customStyle="1" w:styleId="2Char">
    <w:name w:val="标题 2 Char"/>
    <w:basedOn w:val="a0"/>
    <w:link w:val="2"/>
    <w:qFormat/>
    <w:rsid w:val="00E12AD6"/>
    <w:rPr>
      <w:rFonts w:ascii="宋体" w:eastAsia="宋体" w:hAnsi="宋体" w:cs="Times New Roman"/>
      <w:b/>
      <w:bCs/>
      <w:kern w:val="0"/>
      <w:sz w:val="24"/>
      <w:szCs w:val="20"/>
    </w:rPr>
  </w:style>
  <w:style w:type="character" w:customStyle="1" w:styleId="3Char">
    <w:name w:val="标题 3 Char"/>
    <w:basedOn w:val="a0"/>
    <w:uiPriority w:val="9"/>
    <w:semiHidden/>
    <w:rsid w:val="00E12AD6"/>
    <w:rPr>
      <w:rFonts w:ascii="Times New Roman" w:eastAsia="宋体" w:hAnsi="Times New Roman" w:cs="Times New Roman"/>
      <w:b/>
      <w:bCs/>
      <w:sz w:val="32"/>
      <w:szCs w:val="32"/>
    </w:rPr>
  </w:style>
  <w:style w:type="character" w:customStyle="1" w:styleId="3Char1">
    <w:name w:val="标题 3 Char1"/>
    <w:link w:val="3"/>
    <w:qFormat/>
    <w:rsid w:val="00E12AD6"/>
    <w:rPr>
      <w:rFonts w:ascii="宋体" w:eastAsia="宋体" w:hAnsi="宋体" w:cs="Times New Roman"/>
      <w:b/>
      <w:bCs/>
      <w:sz w:val="28"/>
      <w:szCs w:val="32"/>
    </w:rPr>
  </w:style>
  <w:style w:type="paragraph" w:customStyle="1" w:styleId="Default">
    <w:name w:val="Default"/>
    <w:rsid w:val="00E12AD6"/>
    <w:pPr>
      <w:widowControl w:val="0"/>
      <w:autoSpaceDE w:val="0"/>
      <w:autoSpaceDN w:val="0"/>
      <w:adjustRightInd w:val="0"/>
    </w:pPr>
    <w:rPr>
      <w:rFonts w:ascii="宋体" w:eastAsia="宋体" w:hAnsi="宋体" w:cs="宋体"/>
      <w:color w:val="000000"/>
      <w:kern w:val="0"/>
      <w:sz w:val="24"/>
      <w:szCs w:val="24"/>
    </w:rPr>
  </w:style>
  <w:style w:type="character" w:customStyle="1" w:styleId="4Char">
    <w:name w:val="标题 4 Char"/>
    <w:basedOn w:val="a0"/>
    <w:link w:val="4"/>
    <w:uiPriority w:val="9"/>
    <w:semiHidden/>
    <w:rsid w:val="00E12AD6"/>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AD6"/>
    <w:pPr>
      <w:widowControl w:val="0"/>
      <w:jc w:val="both"/>
    </w:pPr>
    <w:rPr>
      <w:rFonts w:ascii="Times New Roman" w:eastAsia="宋体" w:hAnsi="Times New Roman" w:cs="Times New Roman"/>
      <w:szCs w:val="24"/>
    </w:rPr>
  </w:style>
  <w:style w:type="paragraph" w:styleId="2">
    <w:name w:val="heading 2"/>
    <w:basedOn w:val="3"/>
    <w:next w:val="4"/>
    <w:link w:val="2Char"/>
    <w:qFormat/>
    <w:rsid w:val="00E12AD6"/>
    <w:pPr>
      <w:adjustRightInd w:val="0"/>
      <w:jc w:val="center"/>
      <w:textAlignment w:val="baseline"/>
      <w:outlineLvl w:val="1"/>
    </w:pPr>
    <w:rPr>
      <w:kern w:val="0"/>
      <w:sz w:val="24"/>
      <w:szCs w:val="20"/>
    </w:rPr>
  </w:style>
  <w:style w:type="paragraph" w:styleId="3">
    <w:name w:val="heading 3"/>
    <w:basedOn w:val="4"/>
    <w:next w:val="a"/>
    <w:link w:val="3Char1"/>
    <w:qFormat/>
    <w:rsid w:val="00E12AD6"/>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E12A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2A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12AD6"/>
    <w:rPr>
      <w:sz w:val="18"/>
      <w:szCs w:val="18"/>
    </w:rPr>
  </w:style>
  <w:style w:type="paragraph" w:styleId="a4">
    <w:name w:val="footer"/>
    <w:basedOn w:val="a"/>
    <w:link w:val="Char0"/>
    <w:uiPriority w:val="99"/>
    <w:unhideWhenUsed/>
    <w:rsid w:val="00E12A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12AD6"/>
    <w:rPr>
      <w:sz w:val="18"/>
      <w:szCs w:val="18"/>
    </w:rPr>
  </w:style>
  <w:style w:type="character" w:customStyle="1" w:styleId="2Char">
    <w:name w:val="标题 2 Char"/>
    <w:basedOn w:val="a0"/>
    <w:link w:val="2"/>
    <w:qFormat/>
    <w:rsid w:val="00E12AD6"/>
    <w:rPr>
      <w:rFonts w:ascii="宋体" w:eastAsia="宋体" w:hAnsi="宋体" w:cs="Times New Roman"/>
      <w:b/>
      <w:bCs/>
      <w:kern w:val="0"/>
      <w:sz w:val="24"/>
      <w:szCs w:val="20"/>
    </w:rPr>
  </w:style>
  <w:style w:type="character" w:customStyle="1" w:styleId="3Char">
    <w:name w:val="标题 3 Char"/>
    <w:basedOn w:val="a0"/>
    <w:uiPriority w:val="9"/>
    <w:semiHidden/>
    <w:rsid w:val="00E12AD6"/>
    <w:rPr>
      <w:rFonts w:ascii="Times New Roman" w:eastAsia="宋体" w:hAnsi="Times New Roman" w:cs="Times New Roman"/>
      <w:b/>
      <w:bCs/>
      <w:sz w:val="32"/>
      <w:szCs w:val="32"/>
    </w:rPr>
  </w:style>
  <w:style w:type="character" w:customStyle="1" w:styleId="3Char1">
    <w:name w:val="标题 3 Char1"/>
    <w:link w:val="3"/>
    <w:qFormat/>
    <w:rsid w:val="00E12AD6"/>
    <w:rPr>
      <w:rFonts w:ascii="宋体" w:eastAsia="宋体" w:hAnsi="宋体" w:cs="Times New Roman"/>
      <w:b/>
      <w:bCs/>
      <w:sz w:val="28"/>
      <w:szCs w:val="32"/>
    </w:rPr>
  </w:style>
  <w:style w:type="paragraph" w:customStyle="1" w:styleId="Default">
    <w:name w:val="Default"/>
    <w:rsid w:val="00E12AD6"/>
    <w:pPr>
      <w:widowControl w:val="0"/>
      <w:autoSpaceDE w:val="0"/>
      <w:autoSpaceDN w:val="0"/>
      <w:adjustRightInd w:val="0"/>
    </w:pPr>
    <w:rPr>
      <w:rFonts w:ascii="宋体" w:eastAsia="宋体" w:hAnsi="宋体" w:cs="宋体"/>
      <w:color w:val="000000"/>
      <w:kern w:val="0"/>
      <w:sz w:val="24"/>
      <w:szCs w:val="24"/>
    </w:rPr>
  </w:style>
  <w:style w:type="character" w:customStyle="1" w:styleId="4Char">
    <w:name w:val="标题 4 Char"/>
    <w:basedOn w:val="a0"/>
    <w:link w:val="4"/>
    <w:uiPriority w:val="9"/>
    <w:semiHidden/>
    <w:rsid w:val="00E12AD6"/>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3</cp:revision>
  <dcterms:created xsi:type="dcterms:W3CDTF">2021-08-06T02:08:00Z</dcterms:created>
  <dcterms:modified xsi:type="dcterms:W3CDTF">2021-08-06T02:12:00Z</dcterms:modified>
</cp:coreProperties>
</file>