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45" w:rsidRDefault="00B14E45" w:rsidP="00B14E45">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B14E45" w:rsidRDefault="00B14E45" w:rsidP="00B14E45">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B14E45" w:rsidTr="001C7F0F">
        <w:trPr>
          <w:cantSplit/>
          <w:trHeight w:val="20"/>
          <w:jc w:val="center"/>
        </w:trPr>
        <w:tc>
          <w:tcPr>
            <w:tcW w:w="827" w:type="dxa"/>
            <w:vAlign w:val="center"/>
          </w:tcPr>
          <w:p w:rsidR="00B14E45" w:rsidRDefault="00B14E45" w:rsidP="001C7F0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14E45" w:rsidRDefault="00B14E45" w:rsidP="001C7F0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14E45" w:rsidRDefault="00B14E45" w:rsidP="001C7F0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14E45" w:rsidTr="001C7F0F">
        <w:trPr>
          <w:cantSplit/>
          <w:trHeight w:val="20"/>
          <w:jc w:val="center"/>
        </w:trPr>
        <w:tc>
          <w:tcPr>
            <w:tcW w:w="827" w:type="dxa"/>
            <w:vAlign w:val="center"/>
          </w:tcPr>
          <w:p w:rsidR="00B14E45" w:rsidRDefault="00B14E45" w:rsidP="001C7F0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14E45" w:rsidRDefault="00B14E45" w:rsidP="001C7F0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14E45" w:rsidTr="001C7F0F">
        <w:trPr>
          <w:cantSplit/>
          <w:trHeight w:val="20"/>
          <w:jc w:val="center"/>
        </w:trPr>
        <w:tc>
          <w:tcPr>
            <w:tcW w:w="827" w:type="dxa"/>
            <w:vAlign w:val="center"/>
          </w:tcPr>
          <w:p w:rsidR="00B14E45" w:rsidRDefault="00B14E45" w:rsidP="001C7F0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14E45" w:rsidTr="001C7F0F">
        <w:trPr>
          <w:cantSplit/>
          <w:trHeight w:val="20"/>
          <w:jc w:val="center"/>
        </w:trPr>
        <w:tc>
          <w:tcPr>
            <w:tcW w:w="827" w:type="dxa"/>
            <w:vAlign w:val="center"/>
          </w:tcPr>
          <w:p w:rsidR="00B14E45" w:rsidRDefault="00B14E45" w:rsidP="001C7F0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rPr>
              <w:t>不允许</w:t>
            </w:r>
          </w:p>
        </w:tc>
      </w:tr>
      <w:tr w:rsidR="00B14E45" w:rsidTr="001C7F0F">
        <w:trPr>
          <w:cantSplit/>
          <w:trHeight w:val="20"/>
          <w:jc w:val="center"/>
        </w:trPr>
        <w:tc>
          <w:tcPr>
            <w:tcW w:w="827" w:type="dxa"/>
            <w:vAlign w:val="center"/>
          </w:tcPr>
          <w:p w:rsidR="00B14E45" w:rsidRDefault="00B14E45" w:rsidP="001C7F0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w:t>
            </w:r>
            <w:r w:rsidRPr="005E56FA">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sidRPr="005E56FA">
              <w:rPr>
                <w:rFonts w:ascii="新宋体" w:eastAsia="新宋体" w:hAnsi="新宋体" w:cs="宋体" w:hint="eastAsia"/>
                <w:snapToGrid w:val="0"/>
                <w:szCs w:val="21"/>
                <w:lang w:val="zh-CN"/>
              </w:rPr>
              <w:t>应答文件</w:t>
            </w:r>
            <w:r w:rsidRPr="005E56FA">
              <w:rPr>
                <w:rFonts w:ascii="新宋体" w:eastAsia="新宋体" w:hAnsi="新宋体"/>
                <w:snapToGrid w:val="0"/>
                <w:szCs w:val="21"/>
                <w:lang w:val="zh-CN"/>
              </w:rPr>
              <w:t>应于</w:t>
            </w:r>
            <w:r w:rsidRPr="005E56FA">
              <w:rPr>
                <w:rFonts w:ascii="新宋体" w:eastAsia="新宋体" w:hAnsi="新宋体" w:hint="eastAsia"/>
                <w:snapToGrid w:val="0"/>
                <w:szCs w:val="21"/>
                <w:lang w:val="zh-CN"/>
              </w:rPr>
              <w:t>递交截止时间</w:t>
            </w:r>
            <w:r w:rsidRPr="005E56FA">
              <w:rPr>
                <w:rFonts w:ascii="新宋体" w:eastAsia="新宋体" w:hAnsi="新宋体"/>
                <w:snapToGrid w:val="0"/>
                <w:szCs w:val="21"/>
                <w:lang w:val="zh-CN"/>
              </w:rPr>
              <w:t>之前</w:t>
            </w:r>
            <w:r w:rsidRPr="005E56FA">
              <w:rPr>
                <w:rFonts w:ascii="新宋体" w:eastAsia="新宋体" w:hAnsi="新宋体" w:hint="eastAsia"/>
                <w:snapToGrid w:val="0"/>
                <w:szCs w:val="21"/>
                <w:lang w:val="zh-CN"/>
              </w:rPr>
              <w:t>送达招标文件规定的地址</w:t>
            </w:r>
            <w:r w:rsidRPr="005E56FA">
              <w:rPr>
                <w:rFonts w:ascii="新宋体" w:eastAsia="新宋体" w:hAnsi="新宋体"/>
                <w:snapToGrid w:val="0"/>
                <w:szCs w:val="21"/>
                <w:lang w:val="zh-CN"/>
              </w:rPr>
              <w:t>。</w:t>
            </w:r>
          </w:p>
        </w:tc>
      </w:tr>
      <w:tr w:rsidR="00B14E45" w:rsidTr="001C7F0F">
        <w:trPr>
          <w:cantSplit/>
          <w:trHeight w:val="20"/>
          <w:jc w:val="center"/>
        </w:trPr>
        <w:tc>
          <w:tcPr>
            <w:tcW w:w="827" w:type="dxa"/>
            <w:vAlign w:val="center"/>
          </w:tcPr>
          <w:p w:rsidR="00B14E45" w:rsidRDefault="00B14E45" w:rsidP="001C7F0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rPr>
              <w:t>_____万元或合同金额的_____%，缴纳方式：</w:t>
            </w:r>
          </w:p>
        </w:tc>
      </w:tr>
      <w:tr w:rsidR="00B14E45" w:rsidTr="001C7F0F">
        <w:trPr>
          <w:cantSplit/>
          <w:trHeight w:val="20"/>
          <w:jc w:val="center"/>
        </w:trPr>
        <w:tc>
          <w:tcPr>
            <w:tcW w:w="827" w:type="dxa"/>
            <w:vAlign w:val="center"/>
          </w:tcPr>
          <w:p w:rsidR="00B14E45" w:rsidRDefault="00B14E45" w:rsidP="001C7F0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14E45" w:rsidRDefault="00B14E45" w:rsidP="001C7F0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14E45" w:rsidRDefault="00B14E45" w:rsidP="00B14E45">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14E45" w:rsidRDefault="00B14E45" w:rsidP="00B14E45">
      <w:pPr>
        <w:rPr>
          <w:rFonts w:ascii="新宋体" w:eastAsia="新宋体" w:hAnsi="新宋体"/>
          <w:b/>
        </w:rPr>
      </w:pPr>
    </w:p>
    <w:p w:rsidR="00B14E45" w:rsidRDefault="00B14E45" w:rsidP="00B14E45">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14E45" w:rsidTr="001C7F0F">
        <w:trPr>
          <w:jc w:val="center"/>
        </w:trPr>
        <w:tc>
          <w:tcPr>
            <w:tcW w:w="959" w:type="dxa"/>
          </w:tcPr>
          <w:p w:rsidR="00B14E45" w:rsidRDefault="00B14E45" w:rsidP="001C7F0F">
            <w:pPr>
              <w:spacing w:line="276" w:lineRule="auto"/>
              <w:rPr>
                <w:rFonts w:ascii="新宋体" w:eastAsia="新宋体" w:hAnsi="新宋体"/>
              </w:rPr>
            </w:pPr>
            <w:r>
              <w:rPr>
                <w:rFonts w:ascii="新宋体" w:eastAsia="新宋体" w:hAnsi="新宋体" w:hint="eastAsia"/>
              </w:rPr>
              <w:t>序号</w:t>
            </w:r>
          </w:p>
        </w:tc>
        <w:tc>
          <w:tcPr>
            <w:tcW w:w="7938" w:type="dxa"/>
          </w:tcPr>
          <w:p w:rsidR="00B14E45" w:rsidRDefault="00B14E45" w:rsidP="001C7F0F">
            <w:pPr>
              <w:spacing w:line="276" w:lineRule="auto"/>
              <w:rPr>
                <w:rFonts w:ascii="新宋体" w:eastAsia="新宋体" w:hAnsi="新宋体"/>
              </w:rPr>
            </w:pPr>
            <w:r>
              <w:rPr>
                <w:rFonts w:ascii="新宋体" w:eastAsia="新宋体" w:hAnsi="新宋体" w:hint="eastAsia"/>
              </w:rPr>
              <w:t>具体内容</w:t>
            </w:r>
          </w:p>
        </w:tc>
      </w:tr>
      <w:tr w:rsidR="00B14E45" w:rsidTr="001C7F0F">
        <w:trPr>
          <w:jc w:val="center"/>
        </w:trPr>
        <w:tc>
          <w:tcPr>
            <w:tcW w:w="959" w:type="dxa"/>
          </w:tcPr>
          <w:p w:rsidR="00B14E45" w:rsidRDefault="00B14E45" w:rsidP="001C7F0F">
            <w:pPr>
              <w:spacing w:line="276" w:lineRule="auto"/>
              <w:rPr>
                <w:rFonts w:ascii="新宋体" w:eastAsia="新宋体" w:hAnsi="新宋体"/>
              </w:rPr>
            </w:pPr>
            <w:r>
              <w:rPr>
                <w:rFonts w:ascii="新宋体" w:eastAsia="新宋体" w:hAnsi="新宋体" w:hint="eastAsia"/>
              </w:rPr>
              <w:t>1</w:t>
            </w:r>
          </w:p>
        </w:tc>
        <w:tc>
          <w:tcPr>
            <w:tcW w:w="7938" w:type="dxa"/>
          </w:tcPr>
          <w:p w:rsidR="00B14E45" w:rsidRDefault="00B14E45" w:rsidP="001C7F0F">
            <w:pPr>
              <w:spacing w:line="276" w:lineRule="auto"/>
              <w:rPr>
                <w:rFonts w:ascii="新宋体" w:eastAsia="新宋体" w:hAnsi="新宋体"/>
              </w:rPr>
            </w:pPr>
            <w:r>
              <w:rPr>
                <w:rFonts w:ascii="新宋体" w:eastAsia="新宋体" w:hAnsi="新宋体" w:hint="eastAsia"/>
              </w:rPr>
              <w:t>完全满足本项目服务期限的要求。</w:t>
            </w:r>
          </w:p>
        </w:tc>
      </w:tr>
      <w:tr w:rsidR="00B14E45" w:rsidTr="001C7F0F">
        <w:trPr>
          <w:jc w:val="center"/>
        </w:trPr>
        <w:tc>
          <w:tcPr>
            <w:tcW w:w="959" w:type="dxa"/>
          </w:tcPr>
          <w:p w:rsidR="00B14E45" w:rsidRDefault="00B14E45" w:rsidP="001C7F0F">
            <w:pPr>
              <w:spacing w:line="276" w:lineRule="auto"/>
              <w:rPr>
                <w:rFonts w:ascii="新宋体" w:eastAsia="新宋体" w:hAnsi="新宋体"/>
              </w:rPr>
            </w:pPr>
            <w:r>
              <w:rPr>
                <w:rFonts w:ascii="新宋体" w:eastAsia="新宋体" w:hAnsi="新宋体" w:hint="eastAsia"/>
              </w:rPr>
              <w:t>2</w:t>
            </w:r>
          </w:p>
        </w:tc>
        <w:tc>
          <w:tcPr>
            <w:tcW w:w="7938" w:type="dxa"/>
          </w:tcPr>
          <w:p w:rsidR="00B14E45" w:rsidRDefault="00B14E45" w:rsidP="001C7F0F">
            <w:pPr>
              <w:spacing w:line="276" w:lineRule="auto"/>
              <w:rPr>
                <w:rFonts w:ascii="新宋体" w:eastAsia="新宋体" w:hAnsi="新宋体"/>
              </w:rPr>
            </w:pPr>
          </w:p>
        </w:tc>
      </w:tr>
      <w:tr w:rsidR="00B14E45" w:rsidTr="001C7F0F">
        <w:trPr>
          <w:jc w:val="center"/>
        </w:trPr>
        <w:tc>
          <w:tcPr>
            <w:tcW w:w="959" w:type="dxa"/>
          </w:tcPr>
          <w:p w:rsidR="00B14E45" w:rsidRDefault="00B14E45" w:rsidP="001C7F0F">
            <w:pPr>
              <w:spacing w:line="276" w:lineRule="auto"/>
              <w:rPr>
                <w:rFonts w:ascii="新宋体" w:eastAsia="新宋体" w:hAnsi="新宋体"/>
              </w:rPr>
            </w:pPr>
            <w:r>
              <w:rPr>
                <w:rFonts w:ascii="新宋体" w:eastAsia="新宋体" w:hAnsi="新宋体" w:hint="eastAsia"/>
              </w:rPr>
              <w:t>……</w:t>
            </w:r>
          </w:p>
        </w:tc>
        <w:tc>
          <w:tcPr>
            <w:tcW w:w="7938" w:type="dxa"/>
          </w:tcPr>
          <w:p w:rsidR="00B14E45" w:rsidRDefault="00B14E45" w:rsidP="001C7F0F">
            <w:pPr>
              <w:spacing w:line="276" w:lineRule="auto"/>
              <w:rPr>
                <w:rFonts w:ascii="新宋体" w:eastAsia="新宋体" w:hAnsi="新宋体"/>
              </w:rPr>
            </w:pPr>
          </w:p>
        </w:tc>
      </w:tr>
    </w:tbl>
    <w:p w:rsidR="00B14E45" w:rsidRDefault="00B14E45" w:rsidP="00B14E45">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B14E45" w:rsidRDefault="00B14E45" w:rsidP="00B14E45">
      <w:pPr>
        <w:pStyle w:val="3"/>
        <w:rPr>
          <w:rFonts w:ascii="新宋体" w:eastAsia="新宋体" w:hAnsi="新宋体"/>
          <w:kern w:val="44"/>
          <w:szCs w:val="28"/>
        </w:rPr>
      </w:pPr>
      <w:r>
        <w:rPr>
          <w:rFonts w:ascii="新宋体" w:eastAsia="新宋体" w:hAnsi="新宋体" w:hint="eastAsia"/>
          <w:kern w:val="44"/>
          <w:szCs w:val="28"/>
        </w:rPr>
        <w:t>三、项目概况</w:t>
      </w:r>
    </w:p>
    <w:p w:rsidR="00B14E45" w:rsidRDefault="00B14E45" w:rsidP="00B14E45">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5E56FA">
        <w:rPr>
          <w:rFonts w:ascii="新宋体" w:eastAsia="新宋体" w:hAnsi="新宋体" w:hint="eastAsia"/>
          <w:szCs w:val="21"/>
        </w:rPr>
        <w:t xml:space="preserve"> </w:t>
      </w:r>
      <w:r>
        <w:rPr>
          <w:rFonts w:ascii="新宋体" w:eastAsia="新宋体" w:hAnsi="新宋体" w:hint="eastAsia"/>
          <w:szCs w:val="21"/>
        </w:rPr>
        <w:t>人民币240,000.00元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人民币240,000.00元。</w:t>
      </w:r>
    </w:p>
    <w:p w:rsidR="00B14E45" w:rsidRDefault="00B14E45" w:rsidP="00B14E45">
      <w:pPr>
        <w:rPr>
          <w:rFonts w:ascii="新宋体" w:eastAsia="新宋体" w:hAnsi="新宋体" w:cs="宋体"/>
          <w:szCs w:val="21"/>
        </w:rPr>
      </w:pP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B14E45" w:rsidRDefault="00B14E45" w:rsidP="00B14E45">
      <w:pPr>
        <w:spacing w:line="360" w:lineRule="auto"/>
        <w:ind w:firstLineChars="200" w:firstLine="420"/>
        <w:rPr>
          <w:rFonts w:ascii="新宋体" w:eastAsia="新宋体" w:hAnsi="新宋体" w:cs="宋体"/>
          <w:szCs w:val="21"/>
        </w:rPr>
      </w:pPr>
      <w:r w:rsidRPr="005E56FA">
        <w:rPr>
          <w:rFonts w:ascii="新宋体" w:eastAsia="新宋体" w:hAnsi="新宋体" w:cs="宋体" w:hint="eastAsia"/>
          <w:szCs w:val="21"/>
        </w:rPr>
        <w:lastRenderedPageBreak/>
        <w:t>个人破产制度改革试点是中央赋予深圳的重要改革任务。成立破产事务管理机构履行个人破产事务行政管理职能，实行个人破产案件审判权和事务管理权相分离是《深圳经济特区个人破产条例》（以下简称《个破条例》）的重大创新，也是其基本制度。但囿于《个破条例》属于特区法规，是关于个人破产制度的综合性立法，有关破产事务管理机构的规定比较原则有待进一步细化。为此，有必要开展深圳市破产事务管理机构立法研究工作，研究制定破产事务管理机构专门立法，进一步完善及规范法定机构运作、保障其依法履行法定职责的必要措施，落实《个破条例》有关破产事务管理机构法定职责具体规定和有关精神，并重点研究解决以下问题：（一）完善破产事务管理机构法定职责。深圳根据《个破条例》规定在国内首次设立破产事务管理机构，明确了破产事务管理机构的基本框架制度和主要法定职责，探索破产案件办理审判权和事务管理权相分离，但存在四方面问题：一是相关规定原则性较强，操作性不足；二是破产事务管理机构与人民法院与的职能界限及工作衔接、协同等规定不够清晰；三是破产事务管理机构与破产管理人的职责分工不够清晰；四是破产事务管理机构检查监督职责的履行等方面规定都不够具体。需要在深入调查研究、学习借鉴国外（境外）关于破产行政事务管理先进经验的基础上，进一步完善我市破产事务管理机构职责权限。（二）完善法定机构运作基本制度。根据市委编办关于设立市破产事务管理署的有关文件，市破产事务管理</w:t>
      </w:r>
      <w:proofErr w:type="gramStart"/>
      <w:r w:rsidRPr="005E56FA">
        <w:rPr>
          <w:rFonts w:ascii="新宋体" w:eastAsia="新宋体" w:hAnsi="新宋体" w:cs="宋体" w:hint="eastAsia"/>
          <w:szCs w:val="21"/>
        </w:rPr>
        <w:t>署按照</w:t>
      </w:r>
      <w:proofErr w:type="gramEnd"/>
      <w:r w:rsidRPr="005E56FA">
        <w:rPr>
          <w:rFonts w:ascii="新宋体" w:eastAsia="新宋体" w:hAnsi="新宋体" w:cs="宋体" w:hint="eastAsia"/>
          <w:szCs w:val="21"/>
        </w:rPr>
        <w:t>法定机构模式运作。但《个破条例》和相关文件均未对市破产事务管理署的具体运作模式</w:t>
      </w:r>
      <w:proofErr w:type="gramStart"/>
      <w:r w:rsidRPr="005E56FA">
        <w:rPr>
          <w:rFonts w:ascii="新宋体" w:eastAsia="新宋体" w:hAnsi="新宋体" w:cs="宋体" w:hint="eastAsia"/>
          <w:szCs w:val="21"/>
        </w:rPr>
        <w:t>作出</w:t>
      </w:r>
      <w:proofErr w:type="gramEnd"/>
      <w:r w:rsidRPr="005E56FA">
        <w:rPr>
          <w:rFonts w:ascii="新宋体" w:eastAsia="新宋体" w:hAnsi="新宋体" w:cs="宋体" w:hint="eastAsia"/>
          <w:szCs w:val="21"/>
        </w:rPr>
        <w:t>规定。目前深圳运作较为成熟的前海管理局、深圳国际仲裁院等法定机构，均有相应专门立法保障其按照法定机构模式运作。为进一步规范市破产事务管理署机构运作，应紧密结合其法定职责和法定机构运作特点，研究制定符合实际的破产管理署机构专门立法，对破产事务管理署法定职责、决策和治理机制、财务和人事管理、监督等事项进行规范。</w:t>
      </w:r>
    </w:p>
    <w:p w:rsidR="00B14E45" w:rsidRDefault="00B14E45" w:rsidP="00B14E45">
      <w:pPr>
        <w:rPr>
          <w:rFonts w:ascii="新宋体" w:eastAsia="新宋体" w:hAnsi="新宋体"/>
          <w:b/>
          <w:bCs/>
          <w:szCs w:val="21"/>
        </w:rPr>
      </w:pPr>
    </w:p>
    <w:p w:rsidR="00B14E45" w:rsidRDefault="00B14E45" w:rsidP="00B14E45">
      <w:pPr>
        <w:pStyle w:val="3"/>
        <w:rPr>
          <w:rFonts w:ascii="新宋体" w:eastAsia="新宋体" w:hAnsi="新宋体"/>
          <w:kern w:val="44"/>
          <w:szCs w:val="28"/>
        </w:rPr>
      </w:pPr>
      <w:r>
        <w:rPr>
          <w:rFonts w:ascii="新宋体" w:eastAsia="新宋体" w:hAnsi="新宋体" w:hint="eastAsia"/>
          <w:kern w:val="44"/>
          <w:szCs w:val="28"/>
        </w:rPr>
        <w:t>四、项目技术要求</w:t>
      </w:r>
    </w:p>
    <w:p w:rsidR="00B14E45" w:rsidRPr="009E233B" w:rsidRDefault="00B14E45" w:rsidP="00B14E45">
      <w:pPr>
        <w:spacing w:line="360" w:lineRule="auto"/>
        <w:rPr>
          <w:rFonts w:ascii="新宋体" w:eastAsia="新宋体" w:hAnsi="新宋体" w:cs="宋体"/>
          <w:b/>
          <w:bCs/>
          <w:szCs w:val="21"/>
        </w:rPr>
      </w:pPr>
      <w:r w:rsidRPr="009E233B">
        <w:rPr>
          <w:rFonts w:ascii="新宋体" w:eastAsia="新宋体" w:hAnsi="新宋体" w:cs="宋体" w:hint="eastAsia"/>
          <w:b/>
          <w:bCs/>
          <w:szCs w:val="21"/>
        </w:rPr>
        <w:t>（一）服务内容</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1.</w:t>
      </w:r>
      <w:r w:rsidRPr="00A153EC">
        <w:rPr>
          <w:rFonts w:ascii="新宋体" w:eastAsia="新宋体" w:hAnsi="新宋体" w:cs="宋体" w:hint="eastAsia"/>
          <w:szCs w:val="21"/>
        </w:rPr>
        <w:t>破产事务管理机构的法定职责</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（1）</w:t>
      </w:r>
      <w:r w:rsidRPr="00A153EC">
        <w:rPr>
          <w:rFonts w:ascii="新宋体" w:eastAsia="新宋体" w:hAnsi="新宋体" w:cs="宋体" w:hint="eastAsia"/>
          <w:szCs w:val="21"/>
        </w:rPr>
        <w:t>英国、美国、香港等地有关破产事务管理机构的概况及主要职能</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（2）</w:t>
      </w:r>
      <w:r w:rsidRPr="00A153EC">
        <w:rPr>
          <w:rFonts w:ascii="新宋体" w:eastAsia="新宋体" w:hAnsi="新宋体" w:cs="宋体" w:hint="eastAsia"/>
          <w:szCs w:val="21"/>
        </w:rPr>
        <w:t>《个破条例》关于破产事务管理机构在“四位一体”破产办理格局中的定位与职责</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①</w:t>
      </w:r>
      <w:r w:rsidRPr="00A153EC">
        <w:rPr>
          <w:rFonts w:ascii="新宋体" w:eastAsia="新宋体" w:hAnsi="新宋体" w:cs="宋体" w:hint="eastAsia"/>
          <w:szCs w:val="21"/>
        </w:rPr>
        <w:t>个人破产案件审判权和事务管理权界限，破产事务管理机构与人民法院在案件办理中的职责分工与协同</w:t>
      </w:r>
      <w:r>
        <w:rPr>
          <w:rFonts w:ascii="新宋体" w:eastAsia="新宋体" w:hAnsi="新宋体" w:cs="宋体" w:hint="eastAsia"/>
          <w:szCs w:val="21"/>
        </w:rPr>
        <w:t>；②</w:t>
      </w:r>
      <w:r w:rsidRPr="00A153EC">
        <w:rPr>
          <w:rFonts w:ascii="新宋体" w:eastAsia="新宋体" w:hAnsi="新宋体" w:cs="宋体" w:hint="eastAsia"/>
          <w:szCs w:val="21"/>
        </w:rPr>
        <w:t>破产事务管理机构与破产管理人职责分工</w:t>
      </w:r>
      <w:r>
        <w:rPr>
          <w:rFonts w:ascii="新宋体" w:eastAsia="新宋体" w:hAnsi="新宋体" w:cs="宋体" w:hint="eastAsia"/>
          <w:szCs w:val="21"/>
        </w:rPr>
        <w:t>；③</w:t>
      </w:r>
      <w:r w:rsidRPr="00A153EC">
        <w:rPr>
          <w:rFonts w:ascii="新宋体" w:eastAsia="新宋体" w:hAnsi="新宋体" w:cs="宋体" w:hint="eastAsia"/>
          <w:szCs w:val="21"/>
        </w:rPr>
        <w:t>破产事务管理机构检查监督</w:t>
      </w:r>
      <w:r w:rsidRPr="00A153EC">
        <w:rPr>
          <w:rFonts w:ascii="新宋体" w:eastAsia="新宋体" w:hAnsi="新宋体" w:cs="宋体" w:hint="eastAsia"/>
          <w:szCs w:val="21"/>
        </w:rPr>
        <w:lastRenderedPageBreak/>
        <w:t>职责及其他职责</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2.</w:t>
      </w:r>
      <w:r w:rsidRPr="00A153EC">
        <w:rPr>
          <w:rFonts w:ascii="新宋体" w:eastAsia="新宋体" w:hAnsi="新宋体" w:cs="宋体" w:hint="eastAsia"/>
          <w:szCs w:val="21"/>
        </w:rPr>
        <w:t>破产事务管理机构作为法定机构的管理机制</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（1）</w:t>
      </w:r>
      <w:r w:rsidRPr="00A153EC">
        <w:rPr>
          <w:rFonts w:ascii="新宋体" w:eastAsia="新宋体" w:hAnsi="新宋体" w:cs="宋体" w:hint="eastAsia"/>
          <w:szCs w:val="21"/>
        </w:rPr>
        <w:t>破产事务管理机构的决策机构和运行机制</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（2）</w:t>
      </w:r>
      <w:r w:rsidRPr="00A153EC">
        <w:rPr>
          <w:rFonts w:ascii="新宋体" w:eastAsia="新宋体" w:hAnsi="新宋体" w:cs="宋体" w:hint="eastAsia"/>
          <w:szCs w:val="21"/>
        </w:rPr>
        <w:t>破产事务管理机构职责分类及相应职责的履行机制</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（3）</w:t>
      </w:r>
      <w:r w:rsidRPr="00A153EC">
        <w:rPr>
          <w:rFonts w:ascii="新宋体" w:eastAsia="新宋体" w:hAnsi="新宋体" w:cs="宋体" w:hint="eastAsia"/>
          <w:szCs w:val="21"/>
        </w:rPr>
        <w:t>破产事务管理机构的财务、人事管理制度</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（4）</w:t>
      </w:r>
      <w:r w:rsidRPr="00A153EC">
        <w:rPr>
          <w:rFonts w:ascii="新宋体" w:eastAsia="新宋体" w:hAnsi="新宋体" w:cs="宋体" w:hint="eastAsia"/>
          <w:szCs w:val="21"/>
        </w:rPr>
        <w:t>破产事务管理机构的内部监督及外部监督机制</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3.</w:t>
      </w:r>
      <w:r w:rsidRPr="00A153EC">
        <w:rPr>
          <w:rFonts w:ascii="新宋体" w:eastAsia="新宋体" w:hAnsi="新宋体" w:cs="宋体" w:hint="eastAsia"/>
          <w:szCs w:val="21"/>
        </w:rPr>
        <w:t>草拟破产事务管理机构立法草</w:t>
      </w:r>
      <w:r>
        <w:rPr>
          <w:rFonts w:ascii="新宋体" w:eastAsia="新宋体" w:hAnsi="新宋体" w:cs="宋体" w:hint="eastAsia"/>
          <w:szCs w:val="21"/>
        </w:rPr>
        <w:t>案</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（1）</w:t>
      </w:r>
      <w:r w:rsidRPr="00A153EC">
        <w:rPr>
          <w:rFonts w:ascii="新宋体" w:eastAsia="新宋体" w:hAnsi="新宋体" w:cs="宋体" w:hint="eastAsia"/>
          <w:szCs w:val="21"/>
        </w:rPr>
        <w:t>根据上述研究内容分析并提出破产事务管理机构立法相关制度的设计思路及具体内容</w:t>
      </w:r>
    </w:p>
    <w:p w:rsidR="00B14E45" w:rsidRPr="00A153EC"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（2）</w:t>
      </w:r>
      <w:r w:rsidRPr="00A153EC">
        <w:rPr>
          <w:rFonts w:ascii="新宋体" w:eastAsia="新宋体" w:hAnsi="新宋体" w:cs="宋体" w:hint="eastAsia"/>
          <w:szCs w:val="21"/>
        </w:rPr>
        <w:t>根据深圳立法权分析破产事务管理机构立法的路径</w:t>
      </w:r>
    </w:p>
    <w:p w:rsidR="00B14E45" w:rsidRPr="009E233B"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（3）</w:t>
      </w:r>
      <w:r w:rsidRPr="00A153EC">
        <w:rPr>
          <w:rFonts w:ascii="新宋体" w:eastAsia="新宋体" w:hAnsi="新宋体" w:cs="宋体" w:hint="eastAsia"/>
          <w:szCs w:val="21"/>
        </w:rPr>
        <w:t>草拟形成破产事务管理机构立法草</w:t>
      </w:r>
      <w:r>
        <w:rPr>
          <w:rFonts w:ascii="新宋体" w:eastAsia="新宋体" w:hAnsi="新宋体" w:cs="宋体" w:hint="eastAsia"/>
          <w:szCs w:val="21"/>
        </w:rPr>
        <w:t>案</w:t>
      </w:r>
    </w:p>
    <w:p w:rsidR="00B14E45" w:rsidRDefault="00B14E45" w:rsidP="00B14E45">
      <w:pPr>
        <w:spacing w:line="360" w:lineRule="auto"/>
        <w:rPr>
          <w:rFonts w:ascii="新宋体" w:eastAsia="新宋体" w:hAnsi="新宋体"/>
          <w:b/>
        </w:rPr>
      </w:pPr>
      <w:r>
        <w:rPr>
          <w:rFonts w:ascii="新宋体" w:eastAsia="新宋体" w:hAnsi="新宋体" w:hint="eastAsia"/>
          <w:b/>
        </w:rPr>
        <w:t>（二）人员要求</w:t>
      </w:r>
    </w:p>
    <w:p w:rsidR="00B14E45" w:rsidRPr="009E233B" w:rsidRDefault="00B14E45" w:rsidP="00B14E45">
      <w:pPr>
        <w:spacing w:line="360" w:lineRule="auto"/>
        <w:rPr>
          <w:rFonts w:ascii="新宋体" w:eastAsia="新宋体" w:hAnsi="新宋体" w:cs="宋体"/>
          <w:szCs w:val="21"/>
        </w:rPr>
      </w:pPr>
      <w:r w:rsidRPr="009E233B">
        <w:rPr>
          <w:rFonts w:ascii="新宋体" w:eastAsia="新宋体" w:hAnsi="新宋体" w:cs="宋体" w:hint="eastAsia"/>
          <w:szCs w:val="21"/>
        </w:rPr>
        <w:t>（</w:t>
      </w:r>
      <w:r w:rsidRPr="009E233B">
        <w:rPr>
          <w:rFonts w:ascii="新宋体" w:eastAsia="新宋体" w:hAnsi="新宋体" w:cs="宋体"/>
          <w:szCs w:val="21"/>
        </w:rPr>
        <w:t>1</w:t>
      </w:r>
      <w:r w:rsidRPr="009E233B">
        <w:rPr>
          <w:rFonts w:ascii="新宋体" w:eastAsia="新宋体" w:hAnsi="新宋体" w:cs="宋体" w:hint="eastAsia"/>
          <w:szCs w:val="21"/>
        </w:rPr>
        <w:t>）</w:t>
      </w:r>
      <w:r w:rsidRPr="00EE6297">
        <w:rPr>
          <w:rFonts w:ascii="新宋体" w:eastAsia="新宋体" w:hAnsi="新宋体" w:cs="宋体" w:hint="eastAsia"/>
          <w:szCs w:val="21"/>
        </w:rPr>
        <w:t>考虑到课题研究特点，优先选择对</w:t>
      </w:r>
      <w:r>
        <w:rPr>
          <w:rFonts w:ascii="新宋体" w:eastAsia="新宋体" w:hAnsi="新宋体" w:cs="宋体" w:hint="eastAsia"/>
          <w:szCs w:val="21"/>
        </w:rPr>
        <w:t>破产理论有一定研究的</w:t>
      </w:r>
      <w:r w:rsidRPr="00EE6297">
        <w:rPr>
          <w:rFonts w:ascii="新宋体" w:eastAsia="新宋体" w:hAnsi="新宋体" w:cs="宋体" w:hint="eastAsia"/>
          <w:szCs w:val="21"/>
        </w:rPr>
        <w:t>服务团队来开展此项目，</w:t>
      </w:r>
      <w:r>
        <w:rPr>
          <w:rFonts w:ascii="新宋体" w:eastAsia="新宋体" w:hAnsi="新宋体" w:cs="宋体" w:hint="eastAsia"/>
          <w:szCs w:val="21"/>
        </w:rPr>
        <w:t>除团队负责人外，团队成员</w:t>
      </w:r>
      <w:r w:rsidRPr="00EE6297">
        <w:rPr>
          <w:rFonts w:ascii="新宋体" w:eastAsia="新宋体" w:hAnsi="新宋体" w:cs="宋体" w:hint="eastAsia"/>
          <w:szCs w:val="21"/>
        </w:rPr>
        <w:t>不少于</w:t>
      </w:r>
      <w:r>
        <w:rPr>
          <w:rFonts w:ascii="新宋体" w:eastAsia="新宋体" w:hAnsi="新宋体" w:cs="宋体" w:hint="eastAsia"/>
          <w:szCs w:val="21"/>
        </w:rPr>
        <w:t>2</w:t>
      </w:r>
      <w:r w:rsidRPr="00EE6297">
        <w:rPr>
          <w:rFonts w:ascii="新宋体" w:eastAsia="新宋体" w:hAnsi="新宋体" w:cs="宋体" w:hint="eastAsia"/>
          <w:szCs w:val="21"/>
        </w:rPr>
        <w:t>名。</w:t>
      </w:r>
    </w:p>
    <w:p w:rsidR="00B14E45" w:rsidRDefault="00B14E45" w:rsidP="00B14E45">
      <w:pPr>
        <w:spacing w:line="360" w:lineRule="auto"/>
        <w:rPr>
          <w:rFonts w:ascii="新宋体" w:eastAsia="新宋体" w:hAnsi="新宋体"/>
          <w:b/>
        </w:rPr>
      </w:pPr>
      <w:r w:rsidRPr="00EE6297">
        <w:rPr>
          <w:rFonts w:ascii="新宋体" w:eastAsia="新宋体" w:hAnsi="新宋体" w:cs="宋体" w:hint="eastAsia"/>
          <w:szCs w:val="21"/>
        </w:rPr>
        <w:t>（</w:t>
      </w:r>
      <w:r>
        <w:rPr>
          <w:rFonts w:ascii="新宋体" w:eastAsia="新宋体" w:hAnsi="新宋体" w:cs="宋体"/>
          <w:szCs w:val="21"/>
        </w:rPr>
        <w:t>2</w:t>
      </w:r>
      <w:r w:rsidRPr="00EE6297">
        <w:rPr>
          <w:rFonts w:ascii="新宋体" w:eastAsia="新宋体" w:hAnsi="新宋体" w:cs="宋体" w:hint="eastAsia"/>
          <w:szCs w:val="21"/>
        </w:rPr>
        <w:t>）中标单位负责根据岗位需求对工作人员进行业务培训，所配备的工作人员</w:t>
      </w:r>
      <w:proofErr w:type="gramStart"/>
      <w:r w:rsidRPr="00EE6297">
        <w:rPr>
          <w:rFonts w:ascii="新宋体" w:eastAsia="新宋体" w:hAnsi="新宋体" w:cs="宋体" w:hint="eastAsia"/>
          <w:szCs w:val="21"/>
        </w:rPr>
        <w:t>须相对</w:t>
      </w:r>
      <w:proofErr w:type="gramEnd"/>
      <w:r w:rsidRPr="00EE6297">
        <w:rPr>
          <w:rFonts w:ascii="新宋体" w:eastAsia="新宋体" w:hAnsi="新宋体" w:cs="宋体" w:hint="eastAsia"/>
          <w:szCs w:val="21"/>
        </w:rPr>
        <w:t>稳定，在合同期内除不可抗力因素不得随意变更，人员有变动或离职时，需提前至少</w:t>
      </w:r>
      <w:r w:rsidRPr="00D11EC2">
        <w:rPr>
          <w:rFonts w:ascii="新宋体" w:eastAsia="新宋体" w:hAnsi="新宋体" w:cs="宋体"/>
          <w:szCs w:val="21"/>
        </w:rPr>
        <w:t>1个月正式通知招标单位，并安排好新员工的上岗培训和交接手续。</w:t>
      </w:r>
    </w:p>
    <w:p w:rsidR="00B14E45" w:rsidRPr="00572CEB" w:rsidRDefault="00B14E45" w:rsidP="00B14E45">
      <w:pPr>
        <w:spacing w:line="360" w:lineRule="auto"/>
        <w:rPr>
          <w:rFonts w:ascii="新宋体" w:eastAsia="新宋体" w:hAnsi="新宋体"/>
          <w:b/>
        </w:rPr>
      </w:pPr>
      <w:r w:rsidRPr="00572CEB">
        <w:rPr>
          <w:rFonts w:ascii="新宋体" w:eastAsia="新宋体" w:hAnsi="新宋体" w:hint="eastAsia"/>
          <w:b/>
        </w:rPr>
        <w:t>研究成果为:</w:t>
      </w:r>
    </w:p>
    <w:p w:rsidR="00B14E45" w:rsidRPr="00572CEB" w:rsidRDefault="00B14E45" w:rsidP="00B14E45">
      <w:pPr>
        <w:spacing w:line="360" w:lineRule="auto"/>
        <w:rPr>
          <w:rFonts w:ascii="新宋体" w:eastAsia="新宋体" w:hAnsi="新宋体"/>
        </w:rPr>
      </w:pPr>
      <w:r w:rsidRPr="00572CEB">
        <w:rPr>
          <w:rFonts w:ascii="新宋体" w:eastAsia="新宋体" w:hAnsi="新宋体" w:hint="eastAsia"/>
        </w:rPr>
        <w:t>（1）深圳破产事务管理机构立法调研报告；</w:t>
      </w:r>
    </w:p>
    <w:p w:rsidR="00B14E45" w:rsidRPr="00572CEB" w:rsidRDefault="00B14E45" w:rsidP="00B14E45">
      <w:pPr>
        <w:spacing w:line="360" w:lineRule="auto"/>
        <w:rPr>
          <w:rFonts w:ascii="新宋体" w:eastAsia="新宋体" w:hAnsi="新宋体"/>
        </w:rPr>
      </w:pPr>
      <w:r w:rsidRPr="00572CEB">
        <w:rPr>
          <w:rFonts w:ascii="新宋体" w:eastAsia="新宋体" w:hAnsi="新宋体" w:hint="eastAsia"/>
        </w:rPr>
        <w:t>（2）《深圳市破产事务管理署管理办法（草案、暂定名）》及相应起草说明</w:t>
      </w:r>
    </w:p>
    <w:p w:rsidR="00B14E45" w:rsidRPr="00572CEB" w:rsidRDefault="00B14E45" w:rsidP="00B14E45">
      <w:pPr>
        <w:spacing w:line="360" w:lineRule="auto"/>
        <w:rPr>
          <w:rFonts w:ascii="新宋体" w:eastAsia="新宋体" w:hAnsi="新宋体"/>
        </w:rPr>
      </w:pPr>
      <w:r w:rsidRPr="00572CEB">
        <w:rPr>
          <w:rFonts w:ascii="新宋体" w:eastAsia="新宋体" w:hAnsi="新宋体" w:hint="eastAsia"/>
        </w:rPr>
        <w:t>（3）研究过程中形成的重要资料</w:t>
      </w:r>
    </w:p>
    <w:p w:rsidR="00B14E45" w:rsidRPr="00572CEB" w:rsidRDefault="00B14E45" w:rsidP="00B14E45">
      <w:pPr>
        <w:spacing w:line="360" w:lineRule="auto"/>
        <w:rPr>
          <w:rFonts w:ascii="新宋体" w:eastAsia="新宋体" w:hAnsi="新宋体"/>
        </w:rPr>
      </w:pPr>
      <w:r w:rsidRPr="00572CEB">
        <w:rPr>
          <w:rFonts w:ascii="新宋体" w:eastAsia="新宋体" w:hAnsi="新宋体" w:hint="eastAsia"/>
        </w:rPr>
        <w:t>项目研究计划于2021年11月底前完成。工作进度安排如下：</w:t>
      </w:r>
    </w:p>
    <w:p w:rsidR="00B14E45" w:rsidRPr="00572CEB" w:rsidRDefault="00B14E45" w:rsidP="00B14E45">
      <w:pPr>
        <w:spacing w:line="360" w:lineRule="auto"/>
        <w:rPr>
          <w:rFonts w:ascii="新宋体" w:eastAsia="新宋体" w:hAnsi="新宋体"/>
        </w:rPr>
      </w:pPr>
      <w:r w:rsidRPr="00572CEB">
        <w:rPr>
          <w:rFonts w:ascii="新宋体" w:eastAsia="新宋体" w:hAnsi="新宋体" w:hint="eastAsia"/>
        </w:rPr>
        <w:t>1.2021年8月底前完成基础资料搜集、基础研究工作，提交《深圳破产事务管理机构立法调研报告》（初稿）</w:t>
      </w:r>
    </w:p>
    <w:p w:rsidR="00B14E45" w:rsidRPr="00572CEB" w:rsidRDefault="00B14E45" w:rsidP="00B14E45">
      <w:pPr>
        <w:spacing w:line="360" w:lineRule="auto"/>
        <w:rPr>
          <w:rFonts w:ascii="新宋体" w:eastAsia="新宋体" w:hAnsi="新宋体"/>
        </w:rPr>
      </w:pPr>
      <w:r w:rsidRPr="00572CEB">
        <w:rPr>
          <w:rFonts w:ascii="新宋体" w:eastAsia="新宋体" w:hAnsi="新宋体" w:hint="eastAsia"/>
        </w:rPr>
        <w:t>2.2021年9月底前完成《深圳破产事务管理机构立法调研报告》（中期稿）、《深圳市破产事务管理署管理办法（草案）》及相应起草说明</w:t>
      </w:r>
    </w:p>
    <w:p w:rsidR="00B14E45" w:rsidRPr="00572CEB" w:rsidRDefault="00B14E45" w:rsidP="00B14E45">
      <w:pPr>
        <w:spacing w:line="360" w:lineRule="auto"/>
        <w:rPr>
          <w:rFonts w:ascii="新宋体" w:eastAsia="新宋体" w:hAnsi="新宋体"/>
        </w:rPr>
      </w:pPr>
      <w:r w:rsidRPr="00572CEB">
        <w:rPr>
          <w:rFonts w:ascii="新宋体" w:eastAsia="新宋体" w:hAnsi="新宋体" w:hint="eastAsia"/>
        </w:rPr>
        <w:t>3.2021年11月中旬前组织专家对成果进行结题评审；</w:t>
      </w:r>
    </w:p>
    <w:p w:rsidR="00B14E45" w:rsidRPr="00572CEB" w:rsidRDefault="00B14E45" w:rsidP="00B14E45">
      <w:pPr>
        <w:rPr>
          <w:rFonts w:ascii="新宋体" w:eastAsia="新宋体" w:hAnsi="新宋体"/>
        </w:rPr>
      </w:pPr>
      <w:r w:rsidRPr="00572CEB">
        <w:rPr>
          <w:rFonts w:ascii="新宋体" w:eastAsia="新宋体" w:hAnsi="新宋体" w:hint="eastAsia"/>
        </w:rPr>
        <w:t>4.2021年11月底前提交成果最终稿。</w:t>
      </w:r>
    </w:p>
    <w:p w:rsidR="00B14E45" w:rsidRPr="00DD4307" w:rsidRDefault="00B14E45" w:rsidP="00B14E45">
      <w:pPr>
        <w:rPr>
          <w:rFonts w:ascii="新宋体" w:eastAsia="新宋体" w:hAnsi="新宋体"/>
          <w:b/>
        </w:rPr>
      </w:pPr>
    </w:p>
    <w:p w:rsidR="00B14E45" w:rsidRDefault="00B14E45" w:rsidP="00B14E45">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572CEB">
        <w:rPr>
          <w:rFonts w:ascii="新宋体" w:eastAsia="新宋体" w:hAnsi="新宋体" w:cs="宋体" w:hint="eastAsia"/>
          <w:szCs w:val="21"/>
        </w:rPr>
        <w:t>合同签订之日起至2021年11月</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572CEB">
        <w:rPr>
          <w:rFonts w:ascii="新宋体" w:eastAsia="新宋体" w:hAnsi="新宋体" w:cs="宋体" w:hint="eastAsia"/>
          <w:szCs w:val="21"/>
        </w:rPr>
        <w:t>财政性付款。分两次支付：签订委托合同后十个工作日内支付首期款，为中标金额的60%；项目全部完成并通过采购人行政验收后十个工作日内完成尾款支付，为中标金额的40%。</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4B4604">
        <w:rPr>
          <w:rFonts w:ascii="新宋体" w:eastAsia="新宋体" w:hAnsi="新宋体" w:cs="宋体" w:hint="eastAsia"/>
          <w:szCs w:val="21"/>
        </w:rPr>
        <w:t>本项目服务中标人提交的成果通过专家评审和采购人审核验收。</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B14E45" w:rsidRDefault="00B14E45" w:rsidP="00B14E45">
      <w:pPr>
        <w:pStyle w:val="3"/>
        <w:rPr>
          <w:rFonts w:ascii="新宋体" w:eastAsia="新宋体" w:hAnsi="新宋体"/>
          <w:kern w:val="44"/>
          <w:szCs w:val="28"/>
        </w:rPr>
      </w:pPr>
      <w:r>
        <w:rPr>
          <w:rFonts w:ascii="新宋体" w:eastAsia="新宋体" w:hAnsi="新宋体" w:hint="eastAsia"/>
          <w:kern w:val="44"/>
          <w:szCs w:val="28"/>
        </w:rPr>
        <w:t>六、投标报价</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14E45" w:rsidRDefault="00B14E45" w:rsidP="00B14E45">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B14E45" w:rsidP="00B14E45">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2" w:name="_GoBack"/>
      <w:bookmarkEnd w:id="2"/>
    </w:p>
    <w:sectPr w:rsidR="00DE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6A"/>
    <w:rsid w:val="00231F82"/>
    <w:rsid w:val="0070226A"/>
    <w:rsid w:val="00B14E45"/>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E45"/>
    <w:pPr>
      <w:widowControl w:val="0"/>
      <w:jc w:val="both"/>
    </w:pPr>
    <w:rPr>
      <w:rFonts w:ascii="Times New Roman" w:eastAsia="宋体" w:hAnsi="Times New Roman" w:cs="Times New Roman"/>
      <w:szCs w:val="24"/>
    </w:rPr>
  </w:style>
  <w:style w:type="paragraph" w:styleId="2">
    <w:name w:val="heading 2"/>
    <w:basedOn w:val="3"/>
    <w:next w:val="4"/>
    <w:link w:val="2Char"/>
    <w:qFormat/>
    <w:rsid w:val="00B14E45"/>
    <w:pPr>
      <w:adjustRightInd w:val="0"/>
      <w:jc w:val="center"/>
      <w:textAlignment w:val="baseline"/>
      <w:outlineLvl w:val="1"/>
    </w:pPr>
    <w:rPr>
      <w:kern w:val="0"/>
      <w:sz w:val="24"/>
      <w:szCs w:val="20"/>
    </w:rPr>
  </w:style>
  <w:style w:type="paragraph" w:styleId="3">
    <w:name w:val="heading 3"/>
    <w:basedOn w:val="4"/>
    <w:next w:val="a"/>
    <w:link w:val="3Char1"/>
    <w:qFormat/>
    <w:rsid w:val="00B14E4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14E4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14E45"/>
    <w:rPr>
      <w:rFonts w:ascii="宋体" w:eastAsia="宋体" w:hAnsi="宋体" w:cs="Times New Roman"/>
      <w:b/>
      <w:bCs/>
      <w:kern w:val="0"/>
      <w:sz w:val="24"/>
      <w:szCs w:val="20"/>
    </w:rPr>
  </w:style>
  <w:style w:type="character" w:customStyle="1" w:styleId="3Char">
    <w:name w:val="标题 3 Char"/>
    <w:basedOn w:val="a0"/>
    <w:uiPriority w:val="9"/>
    <w:semiHidden/>
    <w:rsid w:val="00B14E45"/>
    <w:rPr>
      <w:rFonts w:ascii="Times New Roman" w:eastAsia="宋体" w:hAnsi="Times New Roman" w:cs="Times New Roman"/>
      <w:b/>
      <w:bCs/>
      <w:sz w:val="32"/>
      <w:szCs w:val="32"/>
    </w:rPr>
  </w:style>
  <w:style w:type="character" w:customStyle="1" w:styleId="3Char1">
    <w:name w:val="标题 3 Char1"/>
    <w:link w:val="3"/>
    <w:qFormat/>
    <w:rsid w:val="00B14E45"/>
    <w:rPr>
      <w:rFonts w:ascii="宋体" w:eastAsia="宋体" w:hAnsi="宋体" w:cs="Times New Roman"/>
      <w:b/>
      <w:bCs/>
      <w:sz w:val="28"/>
      <w:szCs w:val="32"/>
    </w:rPr>
  </w:style>
  <w:style w:type="character" w:customStyle="1" w:styleId="4Char">
    <w:name w:val="标题 4 Char"/>
    <w:basedOn w:val="a0"/>
    <w:link w:val="4"/>
    <w:uiPriority w:val="9"/>
    <w:semiHidden/>
    <w:rsid w:val="00B14E4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E45"/>
    <w:pPr>
      <w:widowControl w:val="0"/>
      <w:jc w:val="both"/>
    </w:pPr>
    <w:rPr>
      <w:rFonts w:ascii="Times New Roman" w:eastAsia="宋体" w:hAnsi="Times New Roman" w:cs="Times New Roman"/>
      <w:szCs w:val="24"/>
    </w:rPr>
  </w:style>
  <w:style w:type="paragraph" w:styleId="2">
    <w:name w:val="heading 2"/>
    <w:basedOn w:val="3"/>
    <w:next w:val="4"/>
    <w:link w:val="2Char"/>
    <w:qFormat/>
    <w:rsid w:val="00B14E45"/>
    <w:pPr>
      <w:adjustRightInd w:val="0"/>
      <w:jc w:val="center"/>
      <w:textAlignment w:val="baseline"/>
      <w:outlineLvl w:val="1"/>
    </w:pPr>
    <w:rPr>
      <w:kern w:val="0"/>
      <w:sz w:val="24"/>
      <w:szCs w:val="20"/>
    </w:rPr>
  </w:style>
  <w:style w:type="paragraph" w:styleId="3">
    <w:name w:val="heading 3"/>
    <w:basedOn w:val="4"/>
    <w:next w:val="a"/>
    <w:link w:val="3Char1"/>
    <w:qFormat/>
    <w:rsid w:val="00B14E4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14E4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14E45"/>
    <w:rPr>
      <w:rFonts w:ascii="宋体" w:eastAsia="宋体" w:hAnsi="宋体" w:cs="Times New Roman"/>
      <w:b/>
      <w:bCs/>
      <w:kern w:val="0"/>
      <w:sz w:val="24"/>
      <w:szCs w:val="20"/>
    </w:rPr>
  </w:style>
  <w:style w:type="character" w:customStyle="1" w:styleId="3Char">
    <w:name w:val="标题 3 Char"/>
    <w:basedOn w:val="a0"/>
    <w:uiPriority w:val="9"/>
    <w:semiHidden/>
    <w:rsid w:val="00B14E45"/>
    <w:rPr>
      <w:rFonts w:ascii="Times New Roman" w:eastAsia="宋体" w:hAnsi="Times New Roman" w:cs="Times New Roman"/>
      <w:b/>
      <w:bCs/>
      <w:sz w:val="32"/>
      <w:szCs w:val="32"/>
    </w:rPr>
  </w:style>
  <w:style w:type="character" w:customStyle="1" w:styleId="3Char1">
    <w:name w:val="标题 3 Char1"/>
    <w:link w:val="3"/>
    <w:qFormat/>
    <w:rsid w:val="00B14E45"/>
    <w:rPr>
      <w:rFonts w:ascii="宋体" w:eastAsia="宋体" w:hAnsi="宋体" w:cs="Times New Roman"/>
      <w:b/>
      <w:bCs/>
      <w:sz w:val="28"/>
      <w:szCs w:val="32"/>
    </w:rPr>
  </w:style>
  <w:style w:type="character" w:customStyle="1" w:styleId="4Char">
    <w:name w:val="标题 4 Char"/>
    <w:basedOn w:val="a0"/>
    <w:link w:val="4"/>
    <w:uiPriority w:val="9"/>
    <w:semiHidden/>
    <w:rsid w:val="00B14E4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2021-08-13T06:57:00Z</dcterms:created>
  <dcterms:modified xsi:type="dcterms:W3CDTF">2021-08-13T06:58:00Z</dcterms:modified>
</cp:coreProperties>
</file>