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91" w:rsidRDefault="00C96E91" w:rsidP="00C96E91">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C96E91" w:rsidRDefault="00C96E91" w:rsidP="00C96E91">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C96E91" w:rsidRDefault="00C96E91" w:rsidP="00BE39C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C96E91" w:rsidRDefault="00C96E91" w:rsidP="00BE39C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C96E91" w:rsidRDefault="00C96E91" w:rsidP="00BE39C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不允许</w:t>
            </w:r>
          </w:p>
        </w:tc>
      </w:tr>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w:t>
            </w:r>
            <w:r w:rsidRPr="00086BEA">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hint="eastAsia"/>
                <w:snapToGrid w:val="0"/>
                <w:szCs w:val="21"/>
                <w:lang w:val="zh-CN"/>
              </w:rPr>
              <w:t>应答文件应于递交截止时间之前送达谈判文件规定的地址</w:t>
            </w:r>
            <w:r>
              <w:rPr>
                <w:rFonts w:ascii="新宋体" w:eastAsia="新宋体" w:hAnsi="新宋体"/>
                <w:snapToGrid w:val="0"/>
                <w:szCs w:val="21"/>
                <w:lang w:val="zh-CN"/>
              </w:rPr>
              <w:t>。</w:t>
            </w:r>
          </w:p>
        </w:tc>
      </w:tr>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_____万元或合同金额的_____%，缴纳方式：无</w:t>
            </w:r>
          </w:p>
        </w:tc>
      </w:tr>
      <w:tr w:rsidR="00C96E91" w:rsidTr="00BE39C7">
        <w:trPr>
          <w:cantSplit/>
          <w:trHeight w:val="20"/>
          <w:jc w:val="center"/>
        </w:trPr>
        <w:tc>
          <w:tcPr>
            <w:tcW w:w="827" w:type="dxa"/>
            <w:vAlign w:val="center"/>
          </w:tcPr>
          <w:p w:rsidR="00C96E91" w:rsidRDefault="00C96E91" w:rsidP="00BE39C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C96E91" w:rsidRDefault="00C96E91" w:rsidP="00BE39C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w:t>
            </w:r>
            <w:r w:rsidRPr="00086BEA">
              <w:rPr>
                <w:rFonts w:ascii="新宋体" w:eastAsia="新宋体" w:hAnsi="新宋体" w:hint="eastAsia"/>
                <w:szCs w:val="21"/>
              </w:rPr>
              <w:t>理机构管理有关事项的补充通知(深财购[2018]27号)”的规定执行。招标代理服务收费以中标/成交通知书公布的中标金额为计算基准,按差额定率累进法计算,作为招标代理服务费。</w:t>
            </w:r>
            <w:bookmarkStart w:id="0" w:name="_Hlk74670769"/>
            <w:r w:rsidRPr="00086BEA">
              <w:rPr>
                <w:rFonts w:ascii="新宋体" w:eastAsia="新宋体" w:hAnsi="新宋体" w:hint="eastAsia"/>
                <w:szCs w:val="21"/>
              </w:rPr>
              <w:t>不足伍仟元的按伍仟元收取</w:t>
            </w:r>
            <w:bookmarkEnd w:id="0"/>
            <w:r w:rsidRPr="00086BEA">
              <w:rPr>
                <w:rFonts w:ascii="新宋体" w:eastAsia="新宋体" w:hAnsi="新宋体" w:hint="eastAsia"/>
                <w:szCs w:val="21"/>
              </w:rPr>
              <w:t>。</w:t>
            </w:r>
          </w:p>
        </w:tc>
      </w:tr>
    </w:tbl>
    <w:p w:rsidR="00C96E91" w:rsidRDefault="00C96E91" w:rsidP="00C96E91">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C96E91" w:rsidRDefault="00C96E91" w:rsidP="00C96E91"/>
    <w:p w:rsidR="00C96E91" w:rsidRDefault="00C96E91" w:rsidP="00C96E91">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C96E91" w:rsidRPr="00B46365" w:rsidRDefault="00C96E91" w:rsidP="00C96E91">
      <w:pPr>
        <w:rPr>
          <w:rFonts w:ascii="宋体" w:hAnsi="宋体"/>
          <w:b/>
          <w:szCs w:val="21"/>
        </w:rPr>
      </w:pPr>
      <w:r w:rsidRPr="00B46365">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C96E91" w:rsidRPr="00B46365" w:rsidTr="00BE39C7">
        <w:trPr>
          <w:trHeight w:val="170"/>
        </w:trPr>
        <w:tc>
          <w:tcPr>
            <w:tcW w:w="771" w:type="dxa"/>
            <w:vAlign w:val="center"/>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序号</w:t>
            </w:r>
          </w:p>
        </w:tc>
        <w:tc>
          <w:tcPr>
            <w:tcW w:w="1605" w:type="dxa"/>
            <w:vAlign w:val="center"/>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采购计划编号</w:t>
            </w:r>
          </w:p>
        </w:tc>
        <w:tc>
          <w:tcPr>
            <w:tcW w:w="1276" w:type="dxa"/>
            <w:vAlign w:val="center"/>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货物名称</w:t>
            </w:r>
          </w:p>
        </w:tc>
        <w:tc>
          <w:tcPr>
            <w:tcW w:w="709" w:type="dxa"/>
            <w:vAlign w:val="center"/>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数量</w:t>
            </w:r>
          </w:p>
        </w:tc>
        <w:tc>
          <w:tcPr>
            <w:tcW w:w="709" w:type="dxa"/>
            <w:vAlign w:val="center"/>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单位</w:t>
            </w:r>
          </w:p>
        </w:tc>
        <w:tc>
          <w:tcPr>
            <w:tcW w:w="1134" w:type="dxa"/>
            <w:vAlign w:val="center"/>
          </w:tcPr>
          <w:p w:rsidR="00C96E91" w:rsidRPr="00B46365" w:rsidRDefault="00C96E91" w:rsidP="00BE39C7">
            <w:pPr>
              <w:spacing w:line="276" w:lineRule="auto"/>
              <w:jc w:val="center"/>
              <w:rPr>
                <w:rFonts w:ascii="新宋体" w:eastAsia="新宋体" w:hAnsi="新宋体"/>
                <w:b/>
              </w:rPr>
            </w:pPr>
            <w:r w:rsidRPr="00B46365">
              <w:rPr>
                <w:rFonts w:ascii="新宋体" w:eastAsia="新宋体" w:hAnsi="新宋体" w:hint="eastAsia"/>
                <w:b/>
              </w:rPr>
              <w:t>备注</w:t>
            </w:r>
          </w:p>
        </w:tc>
        <w:tc>
          <w:tcPr>
            <w:tcW w:w="2835" w:type="dxa"/>
            <w:vAlign w:val="center"/>
          </w:tcPr>
          <w:p w:rsidR="00C96E91" w:rsidRPr="00B46365" w:rsidRDefault="00C96E91" w:rsidP="00BE39C7">
            <w:pPr>
              <w:spacing w:line="276" w:lineRule="auto"/>
              <w:jc w:val="center"/>
              <w:rPr>
                <w:rFonts w:ascii="新宋体" w:eastAsia="新宋体" w:hAnsi="新宋体"/>
                <w:b/>
              </w:rPr>
            </w:pPr>
            <w:r w:rsidRPr="00B46365">
              <w:rPr>
                <w:rFonts w:ascii="新宋体" w:eastAsia="新宋体" w:hAnsi="新宋体" w:hint="eastAsia"/>
                <w:b/>
              </w:rPr>
              <w:t>财政预算限额（元）</w:t>
            </w:r>
          </w:p>
        </w:tc>
      </w:tr>
      <w:tr w:rsidR="00C96E91" w:rsidRPr="00B46365" w:rsidTr="00BE39C7">
        <w:trPr>
          <w:trHeight w:val="29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1</w:t>
            </w:r>
          </w:p>
        </w:tc>
        <w:tc>
          <w:tcPr>
            <w:tcW w:w="1605" w:type="dxa"/>
          </w:tcPr>
          <w:p w:rsidR="00C96E91" w:rsidRPr="00B46365" w:rsidRDefault="00C96E91" w:rsidP="00BE39C7">
            <w:pPr>
              <w:spacing w:line="276" w:lineRule="auto"/>
              <w:rPr>
                <w:rFonts w:ascii="新宋体" w:eastAsia="新宋体" w:hAnsi="新宋体"/>
              </w:rPr>
            </w:pPr>
          </w:p>
        </w:tc>
        <w:tc>
          <w:tcPr>
            <w:tcW w:w="1276" w:type="dxa"/>
          </w:tcPr>
          <w:p w:rsidR="00C96E91" w:rsidRPr="00B46365" w:rsidRDefault="00C96E91" w:rsidP="00143194">
            <w:pPr>
              <w:spacing w:line="276" w:lineRule="auto"/>
              <w:jc w:val="center"/>
              <w:rPr>
                <w:rFonts w:ascii="新宋体" w:eastAsia="新宋体" w:hAnsi="新宋体"/>
              </w:rPr>
            </w:pPr>
            <w:r w:rsidRPr="00143194">
              <w:rPr>
                <w:rFonts w:ascii="新宋体" w:eastAsia="新宋体" w:hAnsi="新宋体"/>
              </w:rPr>
              <w:t>窗帘</w:t>
            </w:r>
          </w:p>
        </w:tc>
        <w:tc>
          <w:tcPr>
            <w:tcW w:w="709" w:type="dxa"/>
          </w:tcPr>
          <w:p w:rsidR="00C96E91" w:rsidRPr="00B46365" w:rsidRDefault="00C96E91" w:rsidP="00143194">
            <w:pPr>
              <w:spacing w:line="276" w:lineRule="auto"/>
              <w:jc w:val="center"/>
              <w:rPr>
                <w:rFonts w:ascii="新宋体" w:eastAsia="新宋体" w:hAnsi="新宋体"/>
              </w:rPr>
            </w:pPr>
            <w:r w:rsidRPr="00B46365">
              <w:rPr>
                <w:rFonts w:ascii="新宋体" w:eastAsia="新宋体" w:hAnsi="新宋体" w:hint="eastAsia"/>
              </w:rPr>
              <w:t>1</w:t>
            </w:r>
            <w:bookmarkStart w:id="1" w:name="_GoBack"/>
            <w:bookmarkEnd w:id="1"/>
          </w:p>
        </w:tc>
        <w:tc>
          <w:tcPr>
            <w:tcW w:w="709" w:type="dxa"/>
          </w:tcPr>
          <w:p w:rsidR="00C96E91" w:rsidRPr="00B46365" w:rsidRDefault="00C96E91" w:rsidP="00143194">
            <w:pPr>
              <w:spacing w:line="276" w:lineRule="auto"/>
              <w:jc w:val="center"/>
              <w:rPr>
                <w:rFonts w:ascii="新宋体" w:eastAsia="新宋体" w:hAnsi="新宋体"/>
              </w:rPr>
            </w:pPr>
            <w:r w:rsidRPr="00B46365">
              <w:rPr>
                <w:rFonts w:ascii="新宋体" w:eastAsia="新宋体" w:hAnsi="新宋体"/>
              </w:rPr>
              <w:t>批</w:t>
            </w:r>
          </w:p>
        </w:tc>
        <w:tc>
          <w:tcPr>
            <w:tcW w:w="1134" w:type="dxa"/>
          </w:tcPr>
          <w:p w:rsidR="00C96E91" w:rsidRPr="00B46365" w:rsidRDefault="00C96E91" w:rsidP="00BE39C7">
            <w:pPr>
              <w:spacing w:line="276" w:lineRule="auto"/>
              <w:rPr>
                <w:rFonts w:ascii="新宋体" w:eastAsia="新宋体" w:hAnsi="新宋体"/>
                <w:b/>
              </w:rPr>
            </w:pPr>
            <w:r w:rsidRPr="00B46365">
              <w:rPr>
                <w:rFonts w:hint="eastAsia"/>
                <w:b/>
              </w:rPr>
              <w:t>拒绝进口</w:t>
            </w:r>
          </w:p>
        </w:tc>
        <w:tc>
          <w:tcPr>
            <w:tcW w:w="2835"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b/>
              </w:rPr>
              <w:t>350,000.00</w:t>
            </w: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2</w:t>
            </w:r>
          </w:p>
        </w:tc>
        <w:tc>
          <w:tcPr>
            <w:tcW w:w="1605" w:type="dxa"/>
          </w:tcPr>
          <w:p w:rsidR="00C96E91" w:rsidRPr="00B46365" w:rsidRDefault="00C96E91" w:rsidP="00BE39C7">
            <w:pPr>
              <w:spacing w:line="276" w:lineRule="auto"/>
              <w:rPr>
                <w:rFonts w:ascii="新宋体" w:eastAsia="新宋体" w:hAnsi="新宋体"/>
              </w:rPr>
            </w:pPr>
          </w:p>
        </w:tc>
        <w:tc>
          <w:tcPr>
            <w:tcW w:w="1276" w:type="dxa"/>
          </w:tcPr>
          <w:p w:rsidR="00C96E91" w:rsidRPr="00B46365" w:rsidRDefault="00C96E91" w:rsidP="00BE39C7">
            <w:pPr>
              <w:spacing w:line="276" w:lineRule="auto"/>
              <w:rPr>
                <w:rFonts w:ascii="新宋体" w:eastAsia="新宋体" w:hAnsi="新宋体"/>
              </w:rPr>
            </w:pPr>
          </w:p>
        </w:tc>
        <w:tc>
          <w:tcPr>
            <w:tcW w:w="709" w:type="dxa"/>
          </w:tcPr>
          <w:p w:rsidR="00C96E91" w:rsidRPr="00B46365" w:rsidRDefault="00C96E91" w:rsidP="00BE39C7">
            <w:pPr>
              <w:spacing w:line="276" w:lineRule="auto"/>
              <w:rPr>
                <w:rFonts w:ascii="新宋体" w:eastAsia="新宋体" w:hAnsi="新宋体"/>
              </w:rPr>
            </w:pPr>
          </w:p>
        </w:tc>
        <w:tc>
          <w:tcPr>
            <w:tcW w:w="709" w:type="dxa"/>
          </w:tcPr>
          <w:p w:rsidR="00C96E91" w:rsidRPr="00B46365" w:rsidRDefault="00C96E91" w:rsidP="00BE39C7">
            <w:pPr>
              <w:spacing w:line="276" w:lineRule="auto"/>
              <w:rPr>
                <w:rFonts w:ascii="新宋体" w:eastAsia="新宋体" w:hAnsi="新宋体"/>
              </w:rPr>
            </w:pPr>
          </w:p>
        </w:tc>
        <w:tc>
          <w:tcPr>
            <w:tcW w:w="1134" w:type="dxa"/>
          </w:tcPr>
          <w:p w:rsidR="00C96E91" w:rsidRPr="00B46365" w:rsidRDefault="00C96E91" w:rsidP="00BE39C7">
            <w:pPr>
              <w:spacing w:line="276" w:lineRule="auto"/>
              <w:rPr>
                <w:rFonts w:ascii="新宋体" w:eastAsia="新宋体" w:hAnsi="新宋体"/>
                <w:b/>
              </w:rPr>
            </w:pPr>
          </w:p>
        </w:tc>
        <w:tc>
          <w:tcPr>
            <w:tcW w:w="2835" w:type="dxa"/>
          </w:tcPr>
          <w:p w:rsidR="00C96E91" w:rsidRPr="00B46365" w:rsidRDefault="00C96E91" w:rsidP="00BE39C7">
            <w:pPr>
              <w:spacing w:line="276" w:lineRule="auto"/>
              <w:rPr>
                <w:rFonts w:ascii="新宋体" w:eastAsia="新宋体" w:hAnsi="新宋体"/>
              </w:rPr>
            </w:pPr>
          </w:p>
        </w:tc>
      </w:tr>
      <w:tr w:rsidR="00C96E91" w:rsidTr="00BE39C7">
        <w:trPr>
          <w:trHeight w:val="170"/>
        </w:trPr>
        <w:tc>
          <w:tcPr>
            <w:tcW w:w="771"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3</w:t>
            </w:r>
          </w:p>
        </w:tc>
        <w:tc>
          <w:tcPr>
            <w:tcW w:w="1605" w:type="dxa"/>
          </w:tcPr>
          <w:p w:rsidR="00C96E91" w:rsidRDefault="00C96E91" w:rsidP="00BE39C7">
            <w:pPr>
              <w:spacing w:line="276" w:lineRule="auto"/>
              <w:rPr>
                <w:rFonts w:ascii="新宋体" w:eastAsia="新宋体" w:hAnsi="新宋体"/>
              </w:rPr>
            </w:pPr>
          </w:p>
        </w:tc>
        <w:tc>
          <w:tcPr>
            <w:tcW w:w="1276" w:type="dxa"/>
          </w:tcPr>
          <w:p w:rsidR="00C96E91" w:rsidRDefault="00C96E91" w:rsidP="00BE39C7">
            <w:pPr>
              <w:spacing w:line="276" w:lineRule="auto"/>
              <w:rPr>
                <w:rFonts w:ascii="新宋体" w:eastAsia="新宋体" w:hAnsi="新宋体"/>
              </w:rPr>
            </w:pPr>
          </w:p>
        </w:tc>
        <w:tc>
          <w:tcPr>
            <w:tcW w:w="709" w:type="dxa"/>
          </w:tcPr>
          <w:p w:rsidR="00C96E91" w:rsidRDefault="00C96E91" w:rsidP="00BE39C7">
            <w:pPr>
              <w:spacing w:line="276" w:lineRule="auto"/>
              <w:rPr>
                <w:rFonts w:ascii="新宋体" w:eastAsia="新宋体" w:hAnsi="新宋体"/>
              </w:rPr>
            </w:pPr>
          </w:p>
        </w:tc>
        <w:tc>
          <w:tcPr>
            <w:tcW w:w="709" w:type="dxa"/>
          </w:tcPr>
          <w:p w:rsidR="00C96E91" w:rsidRDefault="00C96E91" w:rsidP="00BE39C7">
            <w:pPr>
              <w:spacing w:line="276" w:lineRule="auto"/>
              <w:rPr>
                <w:rFonts w:ascii="新宋体" w:eastAsia="新宋体" w:hAnsi="新宋体"/>
              </w:rPr>
            </w:pPr>
          </w:p>
        </w:tc>
        <w:tc>
          <w:tcPr>
            <w:tcW w:w="1134" w:type="dxa"/>
          </w:tcPr>
          <w:p w:rsidR="00C96E91" w:rsidRDefault="00C96E91" w:rsidP="00BE39C7">
            <w:pPr>
              <w:spacing w:line="276" w:lineRule="auto"/>
              <w:rPr>
                <w:rFonts w:ascii="新宋体" w:eastAsia="新宋体" w:hAnsi="新宋体"/>
                <w:b/>
                <w:color w:val="FF0000"/>
              </w:rPr>
            </w:pPr>
          </w:p>
        </w:tc>
        <w:tc>
          <w:tcPr>
            <w:tcW w:w="2835" w:type="dxa"/>
          </w:tcPr>
          <w:p w:rsidR="00C96E91" w:rsidRDefault="00C96E91" w:rsidP="00BE39C7">
            <w:pPr>
              <w:spacing w:line="276" w:lineRule="auto"/>
              <w:rPr>
                <w:rFonts w:ascii="新宋体" w:eastAsia="新宋体" w:hAnsi="新宋体"/>
              </w:rPr>
            </w:pPr>
          </w:p>
        </w:tc>
      </w:tr>
    </w:tbl>
    <w:p w:rsidR="00C96E91" w:rsidRPr="00B46365" w:rsidRDefault="00C96E91" w:rsidP="00C96E91">
      <w:pPr>
        <w:rPr>
          <w:rFonts w:ascii="宋体" w:hAnsi="宋体"/>
          <w:b/>
          <w:szCs w:val="21"/>
        </w:rPr>
      </w:pPr>
    </w:p>
    <w:p w:rsidR="00C96E91" w:rsidRPr="00B46365" w:rsidRDefault="00C96E91" w:rsidP="00C96E91">
      <w:pPr>
        <w:rPr>
          <w:rFonts w:ascii="宋体" w:hAnsi="宋体"/>
          <w:b/>
          <w:szCs w:val="21"/>
        </w:rPr>
      </w:pPr>
      <w:r w:rsidRPr="00B46365">
        <w:rPr>
          <w:rFonts w:ascii="宋体" w:hAnsi="宋体" w:hint="eastAsia"/>
          <w:b/>
          <w:szCs w:val="21"/>
        </w:rPr>
        <w:t>（二）货物清单明细</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2410"/>
        <w:gridCol w:w="851"/>
        <w:gridCol w:w="992"/>
        <w:gridCol w:w="2410"/>
      </w:tblGrid>
      <w:tr w:rsidR="00C96E91" w:rsidRPr="00B46365" w:rsidTr="00BE39C7">
        <w:trPr>
          <w:trHeight w:val="170"/>
        </w:trPr>
        <w:tc>
          <w:tcPr>
            <w:tcW w:w="771" w:type="dxa"/>
            <w:vAlign w:val="center"/>
          </w:tcPr>
          <w:p w:rsidR="00C96E91" w:rsidRPr="00B46365" w:rsidRDefault="00C96E91" w:rsidP="00BE39C7">
            <w:pPr>
              <w:spacing w:line="276" w:lineRule="auto"/>
              <w:rPr>
                <w:rFonts w:ascii="新宋体" w:eastAsia="新宋体" w:hAnsi="新宋体"/>
              </w:rPr>
            </w:pPr>
            <w:r w:rsidRPr="00B46365">
              <w:rPr>
                <w:rFonts w:ascii="新宋体" w:eastAsia="新宋体" w:hAnsi="新宋体" w:hint="eastAsia"/>
              </w:rPr>
              <w:t>序号</w:t>
            </w:r>
          </w:p>
        </w:tc>
        <w:tc>
          <w:tcPr>
            <w:tcW w:w="1605" w:type="dxa"/>
            <w:vAlign w:val="center"/>
          </w:tcPr>
          <w:p w:rsidR="00C96E91" w:rsidRPr="00B46365" w:rsidRDefault="00C96E91" w:rsidP="00BE39C7">
            <w:pPr>
              <w:spacing w:line="276" w:lineRule="auto"/>
              <w:rPr>
                <w:rFonts w:ascii="新宋体" w:eastAsia="新宋体" w:hAnsi="新宋体"/>
              </w:rPr>
            </w:pPr>
            <w:r w:rsidRPr="00B46365">
              <w:rPr>
                <w:rFonts w:ascii="新宋体" w:eastAsia="新宋体" w:hAnsi="新宋体" w:hint="eastAsia"/>
              </w:rPr>
              <w:t>采购计划编号</w:t>
            </w:r>
          </w:p>
        </w:tc>
        <w:tc>
          <w:tcPr>
            <w:tcW w:w="2410" w:type="dxa"/>
            <w:vAlign w:val="center"/>
          </w:tcPr>
          <w:p w:rsidR="00C96E91" w:rsidRPr="00B46365" w:rsidRDefault="00C96E91" w:rsidP="00BE39C7">
            <w:pPr>
              <w:spacing w:line="276" w:lineRule="auto"/>
              <w:rPr>
                <w:rFonts w:ascii="新宋体" w:eastAsia="新宋体" w:hAnsi="新宋体"/>
              </w:rPr>
            </w:pPr>
            <w:r w:rsidRPr="00B46365">
              <w:rPr>
                <w:rFonts w:ascii="新宋体" w:eastAsia="新宋体" w:hAnsi="新宋体" w:hint="eastAsia"/>
              </w:rPr>
              <w:t>货物名称</w:t>
            </w:r>
          </w:p>
        </w:tc>
        <w:tc>
          <w:tcPr>
            <w:tcW w:w="851" w:type="dxa"/>
            <w:vAlign w:val="center"/>
          </w:tcPr>
          <w:p w:rsidR="00C96E91" w:rsidRPr="00B46365" w:rsidRDefault="00C96E91" w:rsidP="00BE39C7">
            <w:pPr>
              <w:spacing w:line="276" w:lineRule="auto"/>
              <w:rPr>
                <w:rFonts w:ascii="新宋体" w:eastAsia="新宋体" w:hAnsi="新宋体"/>
              </w:rPr>
            </w:pPr>
            <w:r w:rsidRPr="00B46365">
              <w:rPr>
                <w:rFonts w:ascii="新宋体" w:eastAsia="新宋体" w:hAnsi="新宋体" w:hint="eastAsia"/>
              </w:rPr>
              <w:t>数量</w:t>
            </w:r>
          </w:p>
        </w:tc>
        <w:tc>
          <w:tcPr>
            <w:tcW w:w="992" w:type="dxa"/>
            <w:vAlign w:val="center"/>
          </w:tcPr>
          <w:p w:rsidR="00C96E91" w:rsidRPr="00B46365" w:rsidRDefault="00C96E91" w:rsidP="00BE39C7">
            <w:pPr>
              <w:spacing w:line="276" w:lineRule="auto"/>
              <w:rPr>
                <w:rFonts w:ascii="新宋体" w:eastAsia="新宋体" w:hAnsi="新宋体"/>
              </w:rPr>
            </w:pPr>
            <w:r w:rsidRPr="00B46365">
              <w:rPr>
                <w:rFonts w:ascii="新宋体" w:eastAsia="新宋体" w:hAnsi="新宋体" w:hint="eastAsia"/>
              </w:rPr>
              <w:t>单位</w:t>
            </w:r>
          </w:p>
        </w:tc>
        <w:tc>
          <w:tcPr>
            <w:tcW w:w="2410" w:type="dxa"/>
            <w:vAlign w:val="center"/>
          </w:tcPr>
          <w:p w:rsidR="00C96E91" w:rsidRPr="00B46365" w:rsidRDefault="00C96E91" w:rsidP="00BE39C7">
            <w:pPr>
              <w:spacing w:line="276" w:lineRule="auto"/>
              <w:jc w:val="center"/>
              <w:rPr>
                <w:rFonts w:ascii="新宋体" w:eastAsia="新宋体" w:hAnsi="新宋体"/>
                <w:b/>
              </w:rPr>
            </w:pPr>
            <w:r w:rsidRPr="00B46365">
              <w:rPr>
                <w:rFonts w:ascii="新宋体" w:eastAsia="新宋体" w:hAnsi="新宋体" w:hint="eastAsia"/>
                <w:b/>
              </w:rPr>
              <w:t>备注</w:t>
            </w: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1</w:t>
            </w:r>
          </w:p>
        </w:tc>
        <w:tc>
          <w:tcPr>
            <w:tcW w:w="1605" w:type="dxa"/>
            <w:vMerge w:val="restart"/>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遮光窗帘布</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米</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898.9</w:t>
            </w:r>
          </w:p>
        </w:tc>
        <w:tc>
          <w:tcPr>
            <w:tcW w:w="2410" w:type="dxa"/>
            <w:vMerge w:val="restart"/>
            <w:vAlign w:val="center"/>
          </w:tcPr>
          <w:p w:rsidR="00C96E91" w:rsidRPr="00B46365" w:rsidRDefault="00C96E91" w:rsidP="00BE39C7">
            <w:pPr>
              <w:spacing w:line="276" w:lineRule="auto"/>
              <w:jc w:val="center"/>
              <w:rPr>
                <w:rFonts w:ascii="新宋体" w:eastAsia="新宋体" w:hAnsi="新宋体"/>
              </w:rPr>
            </w:pPr>
            <w:r w:rsidRPr="00B46365">
              <w:rPr>
                <w:rFonts w:hint="eastAsia"/>
                <w:b/>
              </w:rPr>
              <w:t>拒绝进口</w:t>
            </w: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2</w:t>
            </w:r>
          </w:p>
        </w:tc>
        <w:tc>
          <w:tcPr>
            <w:tcW w:w="1605" w:type="dxa"/>
            <w:vMerge/>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窗纱</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米</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362.3</w:t>
            </w:r>
          </w:p>
        </w:tc>
        <w:tc>
          <w:tcPr>
            <w:tcW w:w="2410" w:type="dxa"/>
            <w:vMerge/>
          </w:tcPr>
          <w:p w:rsidR="00C96E91" w:rsidRPr="00B46365" w:rsidRDefault="00C96E91" w:rsidP="00BE39C7">
            <w:pPr>
              <w:spacing w:line="276" w:lineRule="auto"/>
              <w:rPr>
                <w:rFonts w:ascii="新宋体" w:eastAsia="新宋体" w:hAnsi="新宋体"/>
              </w:rPr>
            </w:pP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3</w:t>
            </w:r>
          </w:p>
        </w:tc>
        <w:tc>
          <w:tcPr>
            <w:tcW w:w="1605" w:type="dxa"/>
            <w:vMerge/>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绒布</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米</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211.8</w:t>
            </w:r>
          </w:p>
        </w:tc>
        <w:tc>
          <w:tcPr>
            <w:tcW w:w="2410" w:type="dxa"/>
            <w:vMerge/>
          </w:tcPr>
          <w:p w:rsidR="00C96E91" w:rsidRPr="00B46365" w:rsidRDefault="00C96E91" w:rsidP="00BE39C7">
            <w:pPr>
              <w:spacing w:line="276" w:lineRule="auto"/>
              <w:rPr>
                <w:rFonts w:ascii="新宋体" w:eastAsia="新宋体" w:hAnsi="新宋体"/>
              </w:rPr>
            </w:pP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lastRenderedPageBreak/>
              <w:t>4</w:t>
            </w:r>
          </w:p>
        </w:tc>
        <w:tc>
          <w:tcPr>
            <w:tcW w:w="1605" w:type="dxa"/>
            <w:vMerge/>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轨道</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米</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589.2</w:t>
            </w:r>
          </w:p>
        </w:tc>
        <w:tc>
          <w:tcPr>
            <w:tcW w:w="2410" w:type="dxa"/>
            <w:vMerge/>
          </w:tcPr>
          <w:p w:rsidR="00C96E91" w:rsidRPr="00B46365" w:rsidRDefault="00C96E91" w:rsidP="00BE39C7">
            <w:pPr>
              <w:spacing w:line="276" w:lineRule="auto"/>
              <w:rPr>
                <w:rFonts w:ascii="新宋体" w:eastAsia="新宋体" w:hAnsi="新宋体"/>
              </w:rPr>
            </w:pP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5</w:t>
            </w:r>
          </w:p>
        </w:tc>
        <w:tc>
          <w:tcPr>
            <w:tcW w:w="1605" w:type="dxa"/>
            <w:vMerge/>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布带/辅料/加工</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米</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1473</w:t>
            </w:r>
          </w:p>
        </w:tc>
        <w:tc>
          <w:tcPr>
            <w:tcW w:w="2410" w:type="dxa"/>
            <w:vMerge/>
          </w:tcPr>
          <w:p w:rsidR="00C96E91" w:rsidRPr="00B46365" w:rsidRDefault="00C96E91" w:rsidP="00BE39C7">
            <w:pPr>
              <w:spacing w:line="276" w:lineRule="auto"/>
              <w:rPr>
                <w:rFonts w:ascii="新宋体" w:eastAsia="新宋体" w:hAnsi="新宋体"/>
              </w:rPr>
            </w:pP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6</w:t>
            </w:r>
          </w:p>
        </w:tc>
        <w:tc>
          <w:tcPr>
            <w:tcW w:w="1605" w:type="dxa"/>
            <w:vMerge/>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电机</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套</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24</w:t>
            </w:r>
          </w:p>
        </w:tc>
        <w:tc>
          <w:tcPr>
            <w:tcW w:w="2410" w:type="dxa"/>
            <w:vMerge/>
          </w:tcPr>
          <w:p w:rsidR="00C96E91" w:rsidRPr="00B46365" w:rsidRDefault="00C96E91" w:rsidP="00BE39C7">
            <w:pPr>
              <w:spacing w:line="276" w:lineRule="auto"/>
              <w:rPr>
                <w:rFonts w:ascii="新宋体" w:eastAsia="新宋体" w:hAnsi="新宋体"/>
              </w:rPr>
            </w:pPr>
          </w:p>
        </w:tc>
      </w:tr>
      <w:tr w:rsidR="00C96E91" w:rsidRPr="00B46365" w:rsidTr="00BE39C7">
        <w:trPr>
          <w:trHeight w:val="170"/>
        </w:trPr>
        <w:tc>
          <w:tcPr>
            <w:tcW w:w="771" w:type="dxa"/>
          </w:tcPr>
          <w:p w:rsidR="00C96E91" w:rsidRPr="00B46365" w:rsidRDefault="00C96E91" w:rsidP="00BE39C7">
            <w:pPr>
              <w:spacing w:line="276" w:lineRule="auto"/>
              <w:jc w:val="center"/>
              <w:rPr>
                <w:rFonts w:ascii="新宋体" w:eastAsia="新宋体" w:hAnsi="新宋体"/>
              </w:rPr>
            </w:pPr>
            <w:r w:rsidRPr="00B46365">
              <w:rPr>
                <w:rFonts w:ascii="新宋体" w:eastAsia="新宋体" w:hAnsi="新宋体" w:hint="eastAsia"/>
              </w:rPr>
              <w:t>7</w:t>
            </w:r>
          </w:p>
        </w:tc>
        <w:tc>
          <w:tcPr>
            <w:tcW w:w="1605" w:type="dxa"/>
            <w:vMerge/>
          </w:tcPr>
          <w:p w:rsidR="00C96E91" w:rsidRPr="00B46365" w:rsidRDefault="00C96E91" w:rsidP="00BE39C7">
            <w:pPr>
              <w:spacing w:line="276" w:lineRule="auto"/>
              <w:rPr>
                <w:rFonts w:ascii="新宋体" w:eastAsia="新宋体" w:hAnsi="新宋体"/>
              </w:rPr>
            </w:pPr>
          </w:p>
        </w:tc>
        <w:tc>
          <w:tcPr>
            <w:tcW w:w="2410"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卷帘1</w:t>
            </w:r>
          </w:p>
        </w:tc>
        <w:tc>
          <w:tcPr>
            <w:tcW w:w="851"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平方米</w:t>
            </w:r>
          </w:p>
        </w:tc>
        <w:tc>
          <w:tcPr>
            <w:tcW w:w="992" w:type="dxa"/>
            <w:vAlign w:val="center"/>
          </w:tcPr>
          <w:p w:rsidR="00C96E91" w:rsidRPr="00B46365" w:rsidRDefault="00C96E91" w:rsidP="00BE39C7">
            <w:pPr>
              <w:jc w:val="center"/>
              <w:rPr>
                <w:rFonts w:ascii="新宋体" w:eastAsia="新宋体" w:hAnsi="新宋体"/>
              </w:rPr>
            </w:pPr>
            <w:r w:rsidRPr="00B46365">
              <w:rPr>
                <w:rFonts w:ascii="新宋体" w:eastAsia="新宋体" w:hAnsi="新宋体"/>
              </w:rPr>
              <w:t>537.1</w:t>
            </w:r>
          </w:p>
        </w:tc>
        <w:tc>
          <w:tcPr>
            <w:tcW w:w="2410" w:type="dxa"/>
            <w:vMerge/>
          </w:tcPr>
          <w:p w:rsidR="00C96E91" w:rsidRPr="00B46365" w:rsidRDefault="00C96E91" w:rsidP="00BE39C7">
            <w:pPr>
              <w:spacing w:line="276" w:lineRule="auto"/>
              <w:rPr>
                <w:rFonts w:ascii="新宋体" w:eastAsia="新宋体" w:hAnsi="新宋体"/>
              </w:rPr>
            </w:pPr>
          </w:p>
        </w:tc>
      </w:tr>
    </w:tbl>
    <w:p w:rsidR="00C96E91" w:rsidRPr="00B46365" w:rsidRDefault="00C96E91" w:rsidP="00C96E91">
      <w:pPr>
        <w:spacing w:line="276" w:lineRule="auto"/>
        <w:rPr>
          <w:rFonts w:ascii="新宋体" w:eastAsia="新宋体" w:hAnsi="新宋体"/>
          <w:b/>
          <w:szCs w:val="21"/>
        </w:rPr>
      </w:pPr>
      <w:r w:rsidRPr="00B46365">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C96E91" w:rsidRPr="00B46365" w:rsidRDefault="00C96E91" w:rsidP="00C96E91">
      <w:pPr>
        <w:spacing w:line="276" w:lineRule="auto"/>
        <w:rPr>
          <w:rFonts w:ascii="新宋体" w:eastAsia="新宋体" w:hAnsi="新宋体"/>
          <w:b/>
          <w:szCs w:val="21"/>
        </w:rPr>
      </w:pPr>
      <w:r w:rsidRPr="00B46365">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C96E91" w:rsidRPr="00B46365" w:rsidRDefault="00C96E91" w:rsidP="00C96E91">
      <w:pPr>
        <w:spacing w:line="276" w:lineRule="auto"/>
        <w:rPr>
          <w:rFonts w:ascii="新宋体" w:eastAsia="新宋体" w:hAnsi="新宋体"/>
          <w:b/>
          <w:szCs w:val="21"/>
        </w:rPr>
      </w:pPr>
      <w:r w:rsidRPr="00B46365">
        <w:rPr>
          <w:rFonts w:ascii="新宋体" w:eastAsia="新宋体" w:hAnsi="新宋体" w:hint="eastAsia"/>
          <w:b/>
          <w:szCs w:val="21"/>
        </w:rPr>
        <w:t>3、本项目核心产品为：遮光窗帘布。</w:t>
      </w:r>
    </w:p>
    <w:p w:rsidR="00C96E91" w:rsidRPr="00B46365" w:rsidRDefault="00C96E91" w:rsidP="00C96E91">
      <w:pPr>
        <w:rPr>
          <w:rFonts w:ascii="宋体" w:hAnsi="宋体"/>
          <w:b/>
          <w:szCs w:val="21"/>
        </w:rPr>
      </w:pPr>
    </w:p>
    <w:p w:rsidR="00C96E91" w:rsidRPr="00B46365" w:rsidRDefault="00C96E91" w:rsidP="00C96E91">
      <w:pPr>
        <w:pStyle w:val="3"/>
        <w:jc w:val="left"/>
        <w:rPr>
          <w:rFonts w:ascii="新宋体" w:eastAsia="新宋体" w:hAnsi="新宋体"/>
          <w:kern w:val="44"/>
          <w:sz w:val="30"/>
          <w:szCs w:val="30"/>
        </w:rPr>
      </w:pPr>
      <w:bookmarkStart w:id="2" w:name="_Toc128884461"/>
      <w:r w:rsidRPr="00B46365">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C96E91" w:rsidTr="00BE39C7">
        <w:tc>
          <w:tcPr>
            <w:tcW w:w="705"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具体内容</w:t>
            </w:r>
          </w:p>
        </w:tc>
      </w:tr>
      <w:tr w:rsidR="00C96E91" w:rsidTr="00BE39C7">
        <w:tc>
          <w:tcPr>
            <w:tcW w:w="705"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1</w:t>
            </w:r>
          </w:p>
        </w:tc>
        <w:tc>
          <w:tcPr>
            <w:tcW w:w="8192"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C96E91" w:rsidTr="00BE39C7">
        <w:tc>
          <w:tcPr>
            <w:tcW w:w="705"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2</w:t>
            </w:r>
          </w:p>
        </w:tc>
        <w:tc>
          <w:tcPr>
            <w:tcW w:w="8192"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C96E91" w:rsidTr="00BE39C7">
        <w:tc>
          <w:tcPr>
            <w:tcW w:w="705"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3</w:t>
            </w:r>
          </w:p>
        </w:tc>
        <w:tc>
          <w:tcPr>
            <w:tcW w:w="8192"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C96E91" w:rsidTr="00BE39C7">
        <w:tc>
          <w:tcPr>
            <w:tcW w:w="705"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w:t>
            </w:r>
          </w:p>
        </w:tc>
        <w:tc>
          <w:tcPr>
            <w:tcW w:w="8192"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w:t>
            </w:r>
          </w:p>
        </w:tc>
      </w:tr>
    </w:tbl>
    <w:p w:rsidR="00C96E91" w:rsidRDefault="00C96E91" w:rsidP="00C96E91">
      <w:pPr>
        <w:spacing w:line="276" w:lineRule="auto"/>
        <w:rPr>
          <w:rFonts w:ascii="新宋体" w:eastAsia="新宋体" w:hAnsi="新宋体"/>
          <w:b/>
          <w:color w:val="FF0000"/>
          <w:szCs w:val="21"/>
        </w:rPr>
      </w:pPr>
      <w:r>
        <w:rPr>
          <w:rFonts w:ascii="新宋体" w:eastAsia="新宋体" w:hAnsi="新宋体" w:hint="eastAsia"/>
          <w:b/>
          <w:color w:val="FF0000"/>
          <w:szCs w:val="21"/>
        </w:rPr>
        <w:t>注：上表所列内容为不可负偏离条款</w:t>
      </w:r>
      <w:bookmarkEnd w:id="2"/>
    </w:p>
    <w:p w:rsidR="00C96E91" w:rsidRDefault="00C96E91" w:rsidP="00C96E91">
      <w:pPr>
        <w:rPr>
          <w:b/>
          <w:szCs w:val="21"/>
        </w:rPr>
      </w:pPr>
    </w:p>
    <w:p w:rsidR="00C96E91" w:rsidRDefault="00C96E91" w:rsidP="00C96E91">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C96E91" w:rsidRDefault="00C96E91" w:rsidP="00C96E91">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C96E91" w:rsidRDefault="00C96E91" w:rsidP="00C96E91">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2、招标技术要求中，用红色加粗字体标注的技术条款为要求提供证明资料的条款，共17项，其余为未要求提供证明资料的条款，无需提供相关证明资料。</w:t>
      </w:r>
    </w:p>
    <w:p w:rsidR="00C96E91" w:rsidRDefault="00C96E91" w:rsidP="00C96E91">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C96E91" w:rsidRDefault="00C96E91" w:rsidP="00C96E91">
      <w:pPr>
        <w:spacing w:line="276" w:lineRule="auto"/>
        <w:rPr>
          <w:rFonts w:ascii="新宋体" w:eastAsia="新宋体" w:hAnsi="新宋体"/>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6379"/>
      </w:tblGrid>
      <w:tr w:rsidR="00C96E91" w:rsidTr="00BE39C7">
        <w:trPr>
          <w:trHeight w:val="107"/>
        </w:trPr>
        <w:tc>
          <w:tcPr>
            <w:tcW w:w="70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货物名称</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技术参数要求</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遮光窗帘布</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1、成分：100%聚酯纤维（测试方法：GB/T 01057-2007，GB/T2910.24-2009）；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▲2、阻燃性能：(洗涤51次后) B1级：损毁长度≤150mm，续燃时</w:t>
            </w:r>
            <w:r w:rsidRPr="00D137E2">
              <w:rPr>
                <w:rStyle w:val="NormalCharacter"/>
                <w:rFonts w:ascii="新宋体" w:eastAsia="新宋体" w:hAnsi="新宋体"/>
                <w:szCs w:val="21"/>
              </w:rPr>
              <w:lastRenderedPageBreak/>
              <w:t>间≤1.2S，阴燃时间≤0S，试样在燃烧时有滴落物，未引起脱脂棉燃烧（测试方法： GB/T 5455-2014）（提供具有CMA资质的第三方检测机构出具的检测报告）；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3、撕破强力（N）：经向≥16×10、纬向≥12×10；（测试方法：GB/T3917.3-2009）（提供具有CMA资质的第三方检测机构出具的检测报告）；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4、断裂强力（N）：经向≥1900、纬向≥1600；（测试方法：GB/T3923.1-2013）（提供具有CMA资质的第三方检测机构出具的检测报告）；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5、面料起球（级）：2000次 ≥4 （测试方法：GB/T4802.2-2008）；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6、干洗尺寸变化率（%）：经向-0.6、纬向-0.3；（测试方法：ISO 3175.2:1998）；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▲7、织物线密度（</w:t>
            </w:r>
            <w:proofErr w:type="spellStart"/>
            <w:r w:rsidRPr="00D137E2">
              <w:rPr>
                <w:rStyle w:val="NormalCharacter"/>
                <w:rFonts w:ascii="新宋体" w:eastAsia="新宋体" w:hAnsi="新宋体"/>
                <w:szCs w:val="21"/>
              </w:rPr>
              <w:t>tex</w:t>
            </w:r>
            <w:proofErr w:type="spellEnd"/>
            <w:r w:rsidRPr="00D137E2">
              <w:rPr>
                <w:rStyle w:val="NormalCharacter"/>
                <w:rFonts w:ascii="新宋体" w:eastAsia="新宋体" w:hAnsi="新宋体"/>
                <w:szCs w:val="21"/>
              </w:rPr>
              <w:t>）:  经纱9~11； 纬纱 35~38； （测试方法：GB/T 29256.5-2012）（提供具有CMA资质的第三方检测机构出具的检测报告）；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▲8、织物密度(根/10cm)：经向1580~1590，纬向360~370；   （测试方法：GB/T 4668-1995）（提供具有CMA资质的第三方检测机构出具的检测报告）；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9、质量（g/㎡）≥240g（方法标准GB/T4669-2008）；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10、防紫外线性能：符合UPF:＞50 （ 测试方法：GB/T18830-2009）；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11、甲醛含量：未检出     （测试方法：GB/T 2912.1-2009）；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12、pH值：6~9   （测试方法：GB/T 7573-2009）；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13、异味：无     测试方法：GB18401-2010； </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14、可分解致癌芳香</w:t>
            </w:r>
            <w:proofErr w:type="gramStart"/>
            <w:r w:rsidRPr="00D137E2">
              <w:rPr>
                <w:rStyle w:val="NormalCharacter"/>
                <w:rFonts w:ascii="新宋体" w:eastAsia="新宋体" w:hAnsi="新宋体"/>
                <w:szCs w:val="21"/>
              </w:rPr>
              <w:t>胺</w:t>
            </w:r>
            <w:proofErr w:type="gramEnd"/>
            <w:r w:rsidRPr="00D137E2">
              <w:rPr>
                <w:rStyle w:val="NormalCharacter"/>
                <w:rFonts w:ascii="新宋体" w:eastAsia="新宋体" w:hAnsi="新宋体"/>
                <w:szCs w:val="21"/>
              </w:rPr>
              <w:t>染料：未检出   测试方法：GB/T17592-2011；</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15、耐干摩擦色牢度（级）：≥4级  （测试方法：GB/T 3920-2008）；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16、耐湿摩擦色牢度（级）：≥4级  （测试方法：GB/T 3920-2008）；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17、耐光色牢度（级）： ≥4级  （测试方法：GB/T8427-1998）；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18、耐皂洗色牢度/级：变色、</w:t>
            </w:r>
            <w:proofErr w:type="gramStart"/>
            <w:r w:rsidRPr="00D137E2">
              <w:rPr>
                <w:rStyle w:val="NormalCharacter"/>
                <w:rFonts w:ascii="新宋体" w:eastAsia="新宋体" w:hAnsi="新宋体"/>
                <w:szCs w:val="21"/>
              </w:rPr>
              <w:t>沾色符合</w:t>
            </w:r>
            <w:proofErr w:type="gramEnd"/>
            <w:r w:rsidRPr="00D137E2">
              <w:rPr>
                <w:rStyle w:val="NormalCharacter"/>
                <w:rFonts w:ascii="新宋体" w:eastAsia="新宋体" w:hAnsi="新宋体"/>
                <w:szCs w:val="21"/>
              </w:rPr>
              <w:t>≥4（测试方法：GB/T 12490-1990）；</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▲19、透气率（L/（c㎡.s)) ≤0.0044 （测试方法： GB/T 24218.15-2018）（提供具有CMA资质的第三方检测机构出具的检测报告）；</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20、顶破强力（N）：≥2790；（测试方法：GB/T19976-2005）；</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窗纱</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1、耐干洗色牢度（级）：≥4级  （测试方法：GB/T 5711-2015）；</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2、耐皂洗色牢度（级）：≥4级  （测试方法：GB/T12490-2014）；</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3、耐水色牢度（级）：≥4级  （测试方法：GB/T5713-2013）；</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4、甲醛含量：未检出     （测试方法：GB/T 2912.1-2009）；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5、pH值：4.5~9（测试方法：GB/T 7573-2009）；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6、成分：100%聚酯纤维（测试方法：GB/T01057-2007）；</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▲7、织物密度(根/10cm)：经密225~230，</w:t>
            </w:r>
            <w:proofErr w:type="gramStart"/>
            <w:r w:rsidRPr="00D137E2">
              <w:rPr>
                <w:rStyle w:val="NormalCharacter"/>
                <w:rFonts w:ascii="新宋体" w:eastAsia="新宋体" w:hAnsi="新宋体"/>
                <w:szCs w:val="21"/>
              </w:rPr>
              <w:t>纬密</w:t>
            </w:r>
            <w:proofErr w:type="gramEnd"/>
            <w:r w:rsidRPr="00D137E2">
              <w:rPr>
                <w:rStyle w:val="NormalCharacter"/>
                <w:rFonts w:ascii="新宋体" w:eastAsia="新宋体" w:hAnsi="新宋体"/>
                <w:szCs w:val="21"/>
              </w:rPr>
              <w:t>215~220；（测试方法：GB/T 4668-1995）（提供具有CMA资质的第三方检测机构出具的检测报告）；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8、单位面积质量（g/㎡）≥80g（测试方法：GB/T4669-2008）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9、断裂强力（N）：经向≥500、纬向≥380；（测试方法：GB/T3923.1-2013）（提供具有CMA资质的第三方检测机构出具的检测报告）；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▲10、阻燃性能：(洗涤30次后) B1：（GB/T 17591-2006或 GB/T 5455-2014）；（提供具有CMA资质的第三方检测机构出具的检测报告）；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▲11、纱线</w:t>
            </w:r>
            <w:proofErr w:type="gramStart"/>
            <w:r w:rsidRPr="00D137E2">
              <w:rPr>
                <w:rStyle w:val="NormalCharacter"/>
                <w:rFonts w:ascii="新宋体" w:eastAsia="新宋体" w:hAnsi="新宋体"/>
                <w:szCs w:val="21"/>
              </w:rPr>
              <w:t>线</w:t>
            </w:r>
            <w:proofErr w:type="gramEnd"/>
            <w:r w:rsidRPr="00D137E2">
              <w:rPr>
                <w:rStyle w:val="NormalCharacter"/>
                <w:rFonts w:ascii="新宋体" w:eastAsia="新宋体" w:hAnsi="新宋体"/>
                <w:szCs w:val="21"/>
              </w:rPr>
              <w:t>密度:  经纱(18~20tex；30~32s)、 纬纱（12~14tex；48~50 s） （测试方法：GB/T 29256.5-2012）（提供具有CMA资质的第三方检测机构出具的检测报告）；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12、异味：无   符合GB18401-2010； </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13、可分解致癌芳香</w:t>
            </w:r>
            <w:proofErr w:type="gramStart"/>
            <w:r w:rsidRPr="00D137E2">
              <w:rPr>
                <w:rStyle w:val="NormalCharacter"/>
                <w:rFonts w:ascii="新宋体" w:eastAsia="新宋体" w:hAnsi="新宋体"/>
                <w:szCs w:val="21"/>
              </w:rPr>
              <w:t>胺</w:t>
            </w:r>
            <w:proofErr w:type="gramEnd"/>
            <w:r w:rsidRPr="00D137E2">
              <w:rPr>
                <w:rStyle w:val="NormalCharacter"/>
                <w:rFonts w:ascii="新宋体" w:eastAsia="新宋体" w:hAnsi="新宋体"/>
                <w:szCs w:val="21"/>
              </w:rPr>
              <w:t>染料：符合GB/T17592-2011；</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绒布</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1、甲醛含量：未检出   （方法标准 GB/T 2912.1-2009）；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2、pH值：4.5</w:t>
            </w:r>
            <w:r w:rsidRPr="00D137E2">
              <w:rPr>
                <w:rStyle w:val="UserStyle16"/>
                <w:rFonts w:ascii="新宋体" w:eastAsia="新宋体" w:hAnsi="新宋体"/>
              </w:rPr>
              <w:t>~9</w:t>
            </w:r>
            <w:r w:rsidRPr="00D137E2">
              <w:rPr>
                <w:rStyle w:val="NormalCharacter"/>
                <w:rFonts w:ascii="新宋体" w:eastAsia="新宋体" w:hAnsi="新宋体"/>
                <w:szCs w:val="21"/>
              </w:rPr>
              <w:t>（测试方法：GB/T 7573-2009）；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3、成分：100%聚酯纤维（测试方法：GB/T01057-2007）；</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4、断裂强力（N）：经向≥1700、纬向≥1100；符合（方法标准GB/T3923.1-2013）（提供具有CMA资质的第三方检测机构出具的检测报告）；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5、耐水色牢度（级）：≥4级；（测试方法：GB/T8427-2008）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6、耐干摩擦色牢度：≥4级（测试方法：GB/T 3920-2008）；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7、防紫外线性能：UPF:＞50 符合（方法标准GB/T18830-2009）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▲8、阻燃性能：(洗涤30次后) 符合B1：（测试方法： GB/T 5455-2014）；（提供具有CMA资质的第三方检测机构出具的检测报告）；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▲9、纱线</w:t>
            </w:r>
            <w:proofErr w:type="gramStart"/>
            <w:r w:rsidRPr="00D137E2">
              <w:rPr>
                <w:rStyle w:val="NormalCharacter"/>
                <w:rFonts w:ascii="新宋体" w:eastAsia="新宋体" w:hAnsi="新宋体"/>
                <w:szCs w:val="21"/>
              </w:rPr>
              <w:t>线</w:t>
            </w:r>
            <w:proofErr w:type="gramEnd"/>
            <w:r w:rsidRPr="00D137E2">
              <w:rPr>
                <w:rStyle w:val="NormalCharacter"/>
                <w:rFonts w:ascii="新宋体" w:eastAsia="新宋体" w:hAnsi="新宋体"/>
                <w:szCs w:val="21"/>
              </w:rPr>
              <w:t>密度:  经纱(18</w:t>
            </w:r>
            <w:r w:rsidRPr="00D137E2">
              <w:rPr>
                <w:rStyle w:val="UserStyle16"/>
                <w:rFonts w:ascii="新宋体" w:eastAsia="新宋体" w:hAnsi="新宋体"/>
              </w:rPr>
              <w:t>~20</w:t>
            </w:r>
            <w:r w:rsidRPr="00D137E2">
              <w:rPr>
                <w:rStyle w:val="NormalCharacter"/>
                <w:rFonts w:ascii="新宋体" w:eastAsia="新宋体" w:hAnsi="新宋体"/>
                <w:szCs w:val="21"/>
              </w:rPr>
              <w:t>tex；160</w:t>
            </w:r>
            <w:r w:rsidRPr="00D137E2">
              <w:rPr>
                <w:rStyle w:val="UserStyle16"/>
                <w:rFonts w:ascii="新宋体" w:eastAsia="新宋体" w:hAnsi="新宋体"/>
              </w:rPr>
              <w:t>~165</w:t>
            </w:r>
            <w:r w:rsidRPr="00D137E2">
              <w:rPr>
                <w:rStyle w:val="NormalCharacter"/>
                <w:rFonts w:ascii="新宋体" w:eastAsia="新宋体" w:hAnsi="新宋体"/>
                <w:szCs w:val="21"/>
              </w:rPr>
              <w:t>D)、 纬纱（纱线1：38</w:t>
            </w:r>
            <w:r w:rsidRPr="00D137E2">
              <w:rPr>
                <w:rStyle w:val="UserStyle16"/>
                <w:rFonts w:ascii="新宋体" w:eastAsia="新宋体" w:hAnsi="新宋体"/>
              </w:rPr>
              <w:t>~40</w:t>
            </w:r>
            <w:r w:rsidRPr="00D137E2">
              <w:rPr>
                <w:rStyle w:val="NormalCharacter"/>
                <w:rFonts w:ascii="新宋体" w:eastAsia="新宋体" w:hAnsi="新宋体"/>
                <w:szCs w:val="21"/>
              </w:rPr>
              <w:t>tex；15</w:t>
            </w:r>
            <w:r w:rsidRPr="00D137E2">
              <w:rPr>
                <w:rStyle w:val="UserStyle16"/>
                <w:rFonts w:ascii="新宋体" w:eastAsia="新宋体" w:hAnsi="新宋体"/>
              </w:rPr>
              <w:t>~17</w:t>
            </w:r>
            <w:r w:rsidRPr="00D137E2">
              <w:rPr>
                <w:rStyle w:val="NormalCharacter"/>
                <w:rFonts w:ascii="新宋体" w:eastAsia="新宋体" w:hAnsi="新宋体"/>
                <w:szCs w:val="21"/>
              </w:rPr>
              <w:t xml:space="preserve"> s） （测试方法：GB/T 29256.5-2012）（提供具有CMA资质的第三方检测机构出具的检测报告）；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▲10、织物密度(根/10cm)：经密705</w:t>
            </w:r>
            <w:r w:rsidRPr="00D137E2">
              <w:rPr>
                <w:rStyle w:val="UserStyle16"/>
                <w:rFonts w:ascii="新宋体" w:eastAsia="新宋体" w:hAnsi="新宋体"/>
              </w:rPr>
              <w:t>~710</w:t>
            </w:r>
            <w:r w:rsidRPr="00D137E2">
              <w:rPr>
                <w:rStyle w:val="NormalCharacter"/>
                <w:rFonts w:ascii="新宋体" w:eastAsia="新宋体" w:hAnsi="新宋体"/>
                <w:szCs w:val="21"/>
              </w:rPr>
              <w:t>，</w:t>
            </w:r>
            <w:proofErr w:type="gramStart"/>
            <w:r w:rsidRPr="00D137E2">
              <w:rPr>
                <w:rStyle w:val="NormalCharacter"/>
                <w:rFonts w:ascii="新宋体" w:eastAsia="新宋体" w:hAnsi="新宋体"/>
                <w:szCs w:val="21"/>
              </w:rPr>
              <w:t>纬密</w:t>
            </w:r>
            <w:proofErr w:type="gramEnd"/>
            <w:r w:rsidRPr="00D137E2">
              <w:rPr>
                <w:rStyle w:val="NormalCharacter"/>
                <w:rFonts w:ascii="新宋体" w:eastAsia="新宋体" w:hAnsi="新宋体"/>
                <w:szCs w:val="21"/>
              </w:rPr>
              <w:t>215</w:t>
            </w:r>
            <w:r w:rsidRPr="00D137E2">
              <w:rPr>
                <w:rStyle w:val="UserStyle16"/>
                <w:rFonts w:ascii="新宋体" w:eastAsia="新宋体" w:hAnsi="新宋体"/>
              </w:rPr>
              <w:t>~220</w:t>
            </w:r>
            <w:r w:rsidRPr="00D137E2">
              <w:rPr>
                <w:rStyle w:val="NormalCharacter"/>
                <w:rFonts w:ascii="新宋体" w:eastAsia="新宋体" w:hAnsi="新宋体"/>
                <w:szCs w:val="21"/>
              </w:rPr>
              <w:t>； （测试方法：GB/T 4668-1995）（提供具有CMA资质的第三方检测机构出具的检测报告）；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11、异味：无   符合GB18401-2010  </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12、可萃取重金属：检≥10项（符合装饰材料标准）（测试方法：GB/T 17593.2-2007）（提供具有CMA资质的第三方检测机构出具的检测报告）；</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13、可分解致癌芳香</w:t>
            </w:r>
            <w:proofErr w:type="gramStart"/>
            <w:r w:rsidRPr="00D137E2">
              <w:rPr>
                <w:rStyle w:val="NormalCharacter"/>
                <w:rFonts w:ascii="新宋体" w:eastAsia="新宋体" w:hAnsi="新宋体"/>
                <w:szCs w:val="21"/>
              </w:rPr>
              <w:t>胺</w:t>
            </w:r>
            <w:proofErr w:type="gramEnd"/>
            <w:r w:rsidRPr="00D137E2">
              <w:rPr>
                <w:rStyle w:val="NormalCharacter"/>
                <w:rFonts w:ascii="新宋体" w:eastAsia="新宋体" w:hAnsi="新宋体"/>
                <w:szCs w:val="21"/>
              </w:rPr>
              <w:t>染料：符合GB/T17592-2011</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手拉轨道</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轨道材质符合GB/T6892-2015《一般工业用铝及铝合金挤压型材》的标准要求。</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1、铝型材标号：6063-T5</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2、轨道弯曲度≤0.17mm</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3、规格为宽*高≥（宽25mm*高26mm）方形轨道，国标型材厚度：≥1.5mm。</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4、韦氏硬度≥10.5HW。</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5、力学性能：规定非比例延伸强度≥200N/mm2，抗拉强度≥220N/mm2，断后伸长率≥9%。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6、漆膜硬度≥4H。</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7、轨道具有耐盐酸性、耐溶剂性、耐洗涤剂性，漆面电泳处理，</w:t>
            </w:r>
            <w:proofErr w:type="gramStart"/>
            <w:r w:rsidRPr="00D137E2">
              <w:rPr>
                <w:rStyle w:val="NormalCharacter"/>
                <w:rFonts w:ascii="新宋体" w:eastAsia="新宋体" w:hAnsi="新宋体"/>
                <w:szCs w:val="21"/>
              </w:rPr>
              <w:t>滑珠吊环</w:t>
            </w:r>
            <w:proofErr w:type="gramEnd"/>
            <w:r w:rsidRPr="00D137E2">
              <w:rPr>
                <w:rStyle w:val="NormalCharacter"/>
                <w:rFonts w:ascii="新宋体" w:eastAsia="新宋体" w:hAnsi="新宋体"/>
                <w:szCs w:val="21"/>
              </w:rPr>
              <w:t>为不锈钢。</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布带/辅料/加工</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1、甲醛含量：未检出   （方法标准 GB/T 2912.1-2009）；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2、耐水色牢度（级）：≥4级  （测试方法：GB/T5713-2013）；</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3、耐皂洗色牢度（级）：≥4级  （测试方法：GB/T12490-1990）；</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▲4、织物密度(根/10cm)：经密335~345，</w:t>
            </w:r>
            <w:proofErr w:type="gramStart"/>
            <w:r w:rsidRPr="00D137E2">
              <w:rPr>
                <w:rStyle w:val="NormalCharacter"/>
                <w:rFonts w:ascii="新宋体" w:eastAsia="新宋体" w:hAnsi="新宋体"/>
                <w:szCs w:val="21"/>
              </w:rPr>
              <w:t>纬密</w:t>
            </w:r>
            <w:proofErr w:type="gramEnd"/>
            <w:r w:rsidRPr="00D137E2">
              <w:rPr>
                <w:rStyle w:val="NormalCharacter"/>
                <w:rFonts w:ascii="新宋体" w:eastAsia="新宋体" w:hAnsi="新宋体"/>
                <w:szCs w:val="21"/>
              </w:rPr>
              <w:t>365~370  （ 测试方法GB/T 4668-1995）（提供具有CMA资质的第三方检测机构出具的检测报告）；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5、成分：100%聚酯纤维（测试方法：GB/T01057-2007）；</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6、断裂强力（N）：经向27×10；（方法标准GB/T3917.3-2009）（提供具有CMA资质的第三方检测机构出具的检测报告）；</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智能遥控电机</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1、运行分贝：30dB(A)</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2、额定电压：230V</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3、额定功率：75W</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4、额定电流：0.34A</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5、额定扭矩：1.2Nm</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6、通电手拉软启动：有</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7、停电手拉功能：有（内置电子离合机构）</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8、遇阻停止：有</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9、控制方式：433频率无线遥控、干触点控制、RS485协议、兼容多种智能中控</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10、特别功能：轻触启动功能</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11、保护等级：IP20</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12、工作温度：0-60摄氏度，室内使用</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13、绝缘等级：CLASS 1</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14、电气认证：CCC、CE、ROHS（其中两项）</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15、电机要求：具有全球5年质量保证。采用交流电机，电机具备</w:t>
            </w:r>
            <w:r w:rsidRPr="00D137E2">
              <w:rPr>
                <w:rStyle w:val="NormalCharacter"/>
                <w:rFonts w:ascii="新宋体" w:eastAsia="新宋体" w:hAnsi="新宋体"/>
                <w:szCs w:val="21"/>
              </w:rPr>
              <w:lastRenderedPageBreak/>
              <w:t>较高的性能稳定性，每个空间需配一个墙面开关及遥控器。</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10.16、轨道标准：轨道材质符合GB/T6892-2015《一般工业用铝及铝合金挤压型材》的标准要求；规格为（宽31.1mm*高25.2mm）±5%方形重轨，国标型材厚度: 1.50mm±5%。</w:t>
            </w:r>
          </w:p>
        </w:tc>
      </w:tr>
      <w:tr w:rsidR="00C96E91" w:rsidTr="00BE39C7">
        <w:trPr>
          <w:trHeight w:val="107"/>
        </w:trPr>
        <w:tc>
          <w:tcPr>
            <w:tcW w:w="709" w:type="dxa"/>
            <w:vMerge w:val="restart"/>
            <w:tcBorders>
              <w:top w:val="single" w:sz="4" w:space="0" w:color="auto"/>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w:t>
            </w:r>
          </w:p>
        </w:tc>
        <w:tc>
          <w:tcPr>
            <w:tcW w:w="1843" w:type="dxa"/>
            <w:vMerge w:val="restart"/>
            <w:tcBorders>
              <w:top w:val="single" w:sz="4" w:space="0" w:color="auto"/>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遮光卷帘（全遮光）</w:t>
            </w: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w:t>
            </w:r>
            <w:r w:rsidRPr="00D137E2">
              <w:rPr>
                <w:rStyle w:val="UserStyle14"/>
                <w:rFonts w:ascii="新宋体" w:eastAsia="新宋体" w:hAnsi="新宋体"/>
              </w:rPr>
              <w:t>、面料成分：聚酯纤维（</w:t>
            </w:r>
            <w:r w:rsidRPr="00D137E2">
              <w:rPr>
                <w:rStyle w:val="UserStyle16"/>
                <w:rFonts w:ascii="新宋体" w:eastAsia="新宋体" w:hAnsi="新宋体"/>
              </w:rPr>
              <w:t>PET</w:t>
            </w:r>
            <w:r w:rsidRPr="00D137E2">
              <w:rPr>
                <w:rStyle w:val="UserStyle14"/>
                <w:rFonts w:ascii="新宋体" w:eastAsia="新宋体" w:hAnsi="新宋体"/>
              </w:rPr>
              <w:t>）</w:t>
            </w:r>
            <w:r w:rsidRPr="00D137E2">
              <w:rPr>
                <w:rStyle w:val="UserStyle16"/>
                <w:rFonts w:ascii="新宋体" w:eastAsia="新宋体" w:hAnsi="新宋体"/>
              </w:rPr>
              <w:t>70%+</w:t>
            </w:r>
            <w:r w:rsidRPr="00D137E2">
              <w:rPr>
                <w:rStyle w:val="UserStyle14"/>
                <w:rFonts w:ascii="新宋体" w:eastAsia="新宋体" w:hAnsi="新宋体"/>
              </w:rPr>
              <w:t>玻璃纤维</w:t>
            </w:r>
            <w:r w:rsidRPr="00D137E2">
              <w:rPr>
                <w:rStyle w:val="UserStyle16"/>
                <w:rFonts w:ascii="新宋体" w:eastAsia="新宋体" w:hAnsi="新宋体"/>
              </w:rPr>
              <w:t>30% (</w:t>
            </w:r>
            <w:r w:rsidRPr="00D137E2">
              <w:rPr>
                <w:rStyle w:val="UserStyle14"/>
                <w:rFonts w:ascii="新宋体" w:eastAsia="新宋体" w:hAnsi="新宋体"/>
              </w:rPr>
              <w:t>测试方法：</w:t>
            </w:r>
            <w:r w:rsidRPr="00D137E2">
              <w:rPr>
                <w:rStyle w:val="UserStyle16"/>
                <w:rFonts w:ascii="新宋体" w:eastAsia="新宋体" w:hAnsi="新宋体"/>
              </w:rPr>
              <w:t>ZDS JS0628-2017    GB/T6040-2002  GB/T14837-2014    GB/T29613.1-2013)</w:t>
            </w:r>
            <w:r w:rsidRPr="00D137E2">
              <w:rPr>
                <w:rStyle w:val="UserStyle14"/>
                <w:rFonts w:ascii="新宋体" w:eastAsia="新宋体" w:hAnsi="新宋体"/>
              </w:rPr>
              <w:t>；</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w:t>
            </w:r>
            <w:r w:rsidRPr="00D137E2">
              <w:rPr>
                <w:rStyle w:val="UserStyle15"/>
                <w:rFonts w:ascii="新宋体" w:eastAsia="新宋体" w:hAnsi="新宋体"/>
                <w:szCs w:val="21"/>
              </w:rPr>
              <w:t>阻燃性能：(洗涤50次后) B1级：</w:t>
            </w:r>
            <w:r w:rsidRPr="00D137E2">
              <w:rPr>
                <w:rStyle w:val="UserStyle14"/>
                <w:rFonts w:ascii="新宋体" w:eastAsia="新宋体" w:hAnsi="新宋体"/>
              </w:rPr>
              <w:t>损毁长度≤</w:t>
            </w:r>
            <w:r w:rsidRPr="00D137E2">
              <w:rPr>
                <w:rStyle w:val="UserStyle16"/>
                <w:rFonts w:ascii="新宋体" w:eastAsia="新宋体" w:hAnsi="新宋体"/>
              </w:rPr>
              <w:t>150mm</w:t>
            </w:r>
            <w:r w:rsidRPr="00D137E2">
              <w:rPr>
                <w:rStyle w:val="UserStyle14"/>
                <w:rFonts w:ascii="新宋体" w:eastAsia="新宋体" w:hAnsi="新宋体"/>
              </w:rPr>
              <w:t>，续燃时间≤</w:t>
            </w:r>
            <w:r w:rsidRPr="00D137E2">
              <w:rPr>
                <w:rStyle w:val="UserStyle16"/>
                <w:rFonts w:ascii="新宋体" w:eastAsia="新宋体" w:hAnsi="新宋体"/>
              </w:rPr>
              <w:t>0S</w:t>
            </w:r>
            <w:r w:rsidRPr="00D137E2">
              <w:rPr>
                <w:rStyle w:val="UserStyle14"/>
                <w:rFonts w:ascii="新宋体" w:eastAsia="新宋体" w:hAnsi="新宋体"/>
              </w:rPr>
              <w:t>，阴燃时间≤</w:t>
            </w:r>
            <w:r w:rsidRPr="00D137E2">
              <w:rPr>
                <w:rStyle w:val="UserStyle16"/>
                <w:rFonts w:ascii="新宋体" w:eastAsia="新宋体" w:hAnsi="新宋体"/>
              </w:rPr>
              <w:t>0S</w:t>
            </w:r>
            <w:r w:rsidRPr="00D137E2">
              <w:rPr>
                <w:rStyle w:val="UserStyle14"/>
                <w:rFonts w:ascii="新宋体" w:eastAsia="新宋体" w:hAnsi="新宋体"/>
              </w:rPr>
              <w:t>，试样在燃烧时无滴落物，未引起脱脂棉燃烧</w:t>
            </w:r>
            <w:r w:rsidRPr="00D137E2">
              <w:rPr>
                <w:rStyle w:val="UserStyle15"/>
                <w:rFonts w:ascii="新宋体" w:eastAsia="新宋体" w:hAnsi="新宋体"/>
                <w:szCs w:val="21"/>
              </w:rPr>
              <w:t>（</w:t>
            </w:r>
            <w:r w:rsidRPr="00D137E2">
              <w:rPr>
                <w:rStyle w:val="UserStyle14"/>
                <w:rFonts w:ascii="新宋体" w:eastAsia="新宋体" w:hAnsi="新宋体"/>
              </w:rPr>
              <w:t>测试方法：</w:t>
            </w:r>
            <w:r w:rsidRPr="00D137E2">
              <w:rPr>
                <w:rStyle w:val="UserStyle15"/>
                <w:rFonts w:ascii="新宋体" w:eastAsia="新宋体" w:hAnsi="新宋体"/>
                <w:szCs w:val="21"/>
              </w:rPr>
              <w:t xml:space="preserve"> GB/T 5455-2014）</w:t>
            </w:r>
            <w:r w:rsidRPr="00D137E2">
              <w:rPr>
                <w:rStyle w:val="NormalCharacter"/>
                <w:rFonts w:ascii="新宋体" w:eastAsia="新宋体" w:hAnsi="新宋体"/>
                <w:szCs w:val="21"/>
              </w:rPr>
              <w:t>（提供具有CMA资质的第三方检测机构出具的检测报告）；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w:t>
            </w:r>
            <w:r w:rsidRPr="00D137E2">
              <w:rPr>
                <w:rStyle w:val="UserStyle14"/>
                <w:rFonts w:ascii="新宋体" w:eastAsia="新宋体" w:hAnsi="新宋体"/>
              </w:rPr>
              <w:t>、甲醛含量：未检出    （测试方法：GB/T 2912.1-2009）；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4、pH值： 6</w:t>
            </w:r>
            <w:r w:rsidRPr="00D137E2">
              <w:rPr>
                <w:rStyle w:val="UserStyle16"/>
                <w:rFonts w:ascii="新宋体" w:eastAsia="新宋体" w:hAnsi="新宋体"/>
              </w:rPr>
              <w:t>~8.5</w:t>
            </w:r>
            <w:r w:rsidRPr="00D137E2">
              <w:rPr>
                <w:rStyle w:val="UserStyle14"/>
                <w:rFonts w:ascii="新宋体" w:eastAsia="新宋体" w:hAnsi="新宋体"/>
              </w:rPr>
              <w:t>（测试方法：GB/T 7573-2009）；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w:t>
            </w:r>
            <w:r w:rsidRPr="00D137E2">
              <w:rPr>
                <w:rStyle w:val="UserStyle14"/>
                <w:rFonts w:ascii="新宋体" w:eastAsia="新宋体" w:hAnsi="新宋体"/>
              </w:rPr>
              <w:t>、异味：无     （测试方法：GB18401-2010）；</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w:t>
            </w:r>
            <w:r w:rsidRPr="00D137E2">
              <w:rPr>
                <w:rStyle w:val="UserStyle14"/>
                <w:rFonts w:ascii="新宋体" w:eastAsia="新宋体" w:hAnsi="新宋体"/>
              </w:rPr>
              <w:t>、可分解致癌芳香</w:t>
            </w:r>
            <w:proofErr w:type="gramStart"/>
            <w:r w:rsidRPr="00D137E2">
              <w:rPr>
                <w:rStyle w:val="UserStyle14"/>
                <w:rFonts w:ascii="新宋体" w:eastAsia="新宋体" w:hAnsi="新宋体"/>
              </w:rPr>
              <w:t>胺</w:t>
            </w:r>
            <w:proofErr w:type="gramEnd"/>
            <w:r w:rsidRPr="00D137E2">
              <w:rPr>
                <w:rStyle w:val="UserStyle14"/>
                <w:rFonts w:ascii="新宋体" w:eastAsia="新宋体" w:hAnsi="新宋体"/>
              </w:rPr>
              <w:t>染料：未检出（测试方法：GB/T17592-2011）；</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w:t>
            </w:r>
            <w:r w:rsidRPr="00D137E2">
              <w:rPr>
                <w:rStyle w:val="UserStyle14"/>
                <w:rFonts w:ascii="新宋体" w:eastAsia="新宋体" w:hAnsi="新宋体"/>
              </w:rPr>
              <w:t>、耐水色牢度（级）：≥4级  （测试方法：GB/T5713-2013）；</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w:t>
            </w:r>
            <w:r w:rsidRPr="00D137E2">
              <w:rPr>
                <w:rStyle w:val="UserStyle14"/>
                <w:rFonts w:ascii="新宋体" w:eastAsia="新宋体" w:hAnsi="新宋体"/>
              </w:rPr>
              <w:t>、耐干摩擦色牢度（级）：≥4级  （测试方法：GB/T 3920-2008）；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w:t>
            </w:r>
            <w:r w:rsidRPr="00D137E2">
              <w:rPr>
                <w:rStyle w:val="UserStyle14"/>
                <w:rFonts w:ascii="新宋体" w:eastAsia="新宋体" w:hAnsi="新宋体"/>
              </w:rPr>
              <w:t>、耐光色牢度（级）：≥4级   （测试方法：GB/T8427-1998）；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w:t>
            </w:r>
            <w:r w:rsidRPr="00D137E2">
              <w:rPr>
                <w:rStyle w:val="UserStyle14"/>
                <w:rFonts w:ascii="新宋体" w:eastAsia="新宋体" w:hAnsi="新宋体"/>
              </w:rPr>
              <w:t>、撕破强力（N）：方向</w:t>
            </w:r>
            <w:r w:rsidRPr="00D137E2">
              <w:rPr>
                <w:rStyle w:val="UserStyle16"/>
                <w:rFonts w:ascii="新宋体" w:eastAsia="新宋体" w:hAnsi="新宋体"/>
              </w:rPr>
              <w:t>1</w:t>
            </w:r>
            <w:r w:rsidRPr="00D137E2">
              <w:rPr>
                <w:rStyle w:val="UserStyle14"/>
                <w:rFonts w:ascii="新宋体" w:eastAsia="新宋体" w:hAnsi="新宋体"/>
              </w:rPr>
              <w:t>≥</w:t>
            </w:r>
            <w:r w:rsidRPr="00D137E2">
              <w:rPr>
                <w:rStyle w:val="UserStyle16"/>
                <w:rFonts w:ascii="新宋体" w:eastAsia="新宋体" w:hAnsi="新宋体"/>
              </w:rPr>
              <w:t>45</w:t>
            </w:r>
            <w:r w:rsidRPr="00D137E2">
              <w:rPr>
                <w:rStyle w:val="UserStyle14"/>
                <w:rFonts w:ascii="新宋体" w:eastAsia="新宋体" w:hAnsi="新宋体"/>
              </w:rPr>
              <w:t>、方向</w:t>
            </w:r>
            <w:r w:rsidRPr="00D137E2">
              <w:rPr>
                <w:rStyle w:val="UserStyle16"/>
                <w:rFonts w:ascii="新宋体" w:eastAsia="新宋体" w:hAnsi="新宋体"/>
              </w:rPr>
              <w:t>2</w:t>
            </w:r>
            <w:r w:rsidRPr="00D137E2">
              <w:rPr>
                <w:rStyle w:val="UserStyle14"/>
                <w:rFonts w:ascii="新宋体" w:eastAsia="新宋体" w:hAnsi="新宋体"/>
              </w:rPr>
              <w:t>≥</w:t>
            </w:r>
            <w:r w:rsidRPr="00D137E2">
              <w:rPr>
                <w:rStyle w:val="UserStyle16"/>
                <w:rFonts w:ascii="新宋体" w:eastAsia="新宋体" w:hAnsi="新宋体"/>
              </w:rPr>
              <w:t>93</w:t>
            </w:r>
            <w:r w:rsidRPr="00D137E2">
              <w:rPr>
                <w:rStyle w:val="UserStyle14"/>
                <w:rFonts w:ascii="新宋体" w:eastAsia="新宋体" w:hAnsi="新宋体"/>
              </w:rPr>
              <w:t>；（测试方法：GB/T3917.3-2009）（提供检测报告）；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w:t>
            </w:r>
            <w:r w:rsidRPr="00D137E2">
              <w:rPr>
                <w:rStyle w:val="UserStyle14"/>
                <w:rFonts w:ascii="新宋体" w:eastAsia="新宋体" w:hAnsi="新宋体"/>
              </w:rPr>
              <w:t>断裂强力（</w:t>
            </w:r>
            <w:r w:rsidRPr="00D137E2">
              <w:rPr>
                <w:rStyle w:val="UserStyle16"/>
                <w:rFonts w:ascii="新宋体" w:eastAsia="新宋体" w:hAnsi="新宋体"/>
              </w:rPr>
              <w:t>N</w:t>
            </w:r>
            <w:r w:rsidRPr="00D137E2">
              <w:rPr>
                <w:rStyle w:val="UserStyle14"/>
                <w:rFonts w:ascii="新宋体" w:eastAsia="新宋体" w:hAnsi="新宋体"/>
              </w:rPr>
              <w:t>）：方向</w:t>
            </w:r>
            <w:r w:rsidRPr="00D137E2">
              <w:rPr>
                <w:rStyle w:val="UserStyle16"/>
                <w:rFonts w:ascii="新宋体" w:eastAsia="新宋体" w:hAnsi="新宋体"/>
              </w:rPr>
              <w:t>1</w:t>
            </w:r>
            <w:r w:rsidRPr="00D137E2">
              <w:rPr>
                <w:rStyle w:val="UserStyle14"/>
                <w:rFonts w:ascii="新宋体" w:eastAsia="新宋体" w:hAnsi="新宋体"/>
              </w:rPr>
              <w:t>≥</w:t>
            </w:r>
            <w:r w:rsidRPr="00D137E2">
              <w:rPr>
                <w:rStyle w:val="UserStyle16"/>
                <w:rFonts w:ascii="新宋体" w:eastAsia="新宋体" w:hAnsi="新宋体"/>
              </w:rPr>
              <w:t>2500</w:t>
            </w:r>
            <w:r w:rsidRPr="00D137E2">
              <w:rPr>
                <w:rStyle w:val="UserStyle14"/>
                <w:rFonts w:ascii="新宋体" w:eastAsia="新宋体" w:hAnsi="新宋体"/>
              </w:rPr>
              <w:t>、方向</w:t>
            </w:r>
            <w:r w:rsidRPr="00D137E2">
              <w:rPr>
                <w:rStyle w:val="UserStyle16"/>
                <w:rFonts w:ascii="新宋体" w:eastAsia="新宋体" w:hAnsi="新宋体"/>
              </w:rPr>
              <w:t>2</w:t>
            </w:r>
            <w:r w:rsidRPr="00D137E2">
              <w:rPr>
                <w:rStyle w:val="UserStyle14"/>
                <w:rFonts w:ascii="新宋体" w:eastAsia="新宋体" w:hAnsi="新宋体"/>
              </w:rPr>
              <w:t>≥</w:t>
            </w:r>
            <w:r w:rsidRPr="00D137E2">
              <w:rPr>
                <w:rStyle w:val="UserStyle16"/>
                <w:rFonts w:ascii="新宋体" w:eastAsia="新宋体" w:hAnsi="新宋体"/>
              </w:rPr>
              <w:t>3600</w:t>
            </w:r>
            <w:r w:rsidRPr="00D137E2">
              <w:rPr>
                <w:rStyle w:val="UserStyle14"/>
                <w:rFonts w:ascii="新宋体" w:eastAsia="新宋体" w:hAnsi="新宋体"/>
              </w:rPr>
              <w:t>；（测试方法：</w:t>
            </w:r>
            <w:r w:rsidRPr="00D137E2">
              <w:rPr>
                <w:rStyle w:val="UserStyle16"/>
                <w:rFonts w:ascii="新宋体" w:eastAsia="新宋体" w:hAnsi="新宋体"/>
              </w:rPr>
              <w:t>GB/T3923.1-2013</w:t>
            </w:r>
            <w:r w:rsidRPr="00D137E2">
              <w:rPr>
                <w:rStyle w:val="UserStyle14"/>
                <w:rFonts w:ascii="新宋体" w:eastAsia="新宋体" w:hAnsi="新宋体"/>
              </w:rPr>
              <w:t>）</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w:t>
            </w:r>
            <w:r w:rsidRPr="00D137E2">
              <w:rPr>
                <w:rStyle w:val="UserStyle14"/>
                <w:rFonts w:ascii="新宋体" w:eastAsia="新宋体" w:hAnsi="新宋体"/>
              </w:rPr>
              <w:t>、耐酸汗渍色牢度（级）：≥4级   （测试方法：GB/T3922-2013）；</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w:t>
            </w:r>
            <w:r w:rsidRPr="00D137E2">
              <w:rPr>
                <w:rStyle w:val="UserStyle14"/>
                <w:rFonts w:ascii="新宋体" w:eastAsia="新宋体" w:hAnsi="新宋体"/>
              </w:rPr>
              <w:t>、耐碱汗渍色牢度（级）：≥4级  （测试方法：GB/T3922-2013）；</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14</w:t>
            </w:r>
            <w:r w:rsidRPr="00D137E2">
              <w:rPr>
                <w:rStyle w:val="UserStyle15"/>
                <w:rFonts w:ascii="新宋体" w:eastAsia="新宋体" w:hAnsi="新宋体"/>
                <w:szCs w:val="21"/>
              </w:rPr>
              <w:t xml:space="preserve">、防紫外线性能：UPF:＞50 （ </w:t>
            </w:r>
            <w:r w:rsidRPr="00D137E2">
              <w:rPr>
                <w:rStyle w:val="UserStyle14"/>
                <w:rFonts w:ascii="新宋体" w:eastAsia="新宋体" w:hAnsi="新宋体"/>
              </w:rPr>
              <w:t>测试方法：</w:t>
            </w:r>
            <w:r w:rsidRPr="00D137E2">
              <w:rPr>
                <w:rStyle w:val="UserStyle15"/>
                <w:rFonts w:ascii="新宋体" w:eastAsia="新宋体" w:hAnsi="新宋体"/>
                <w:szCs w:val="21"/>
              </w:rPr>
              <w:t>GB/T18830-2009）；</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15</w:t>
            </w:r>
            <w:r w:rsidRPr="00D137E2">
              <w:rPr>
                <w:rStyle w:val="UserStyle15"/>
                <w:rFonts w:ascii="新宋体" w:eastAsia="新宋体" w:hAnsi="新宋体"/>
                <w:szCs w:val="21"/>
              </w:rPr>
              <w:t>、质量（g/㎡）≥550g（方法标准GB/T4669-2008）</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16、可萃取重金属含量（mg/kg）:砷、铅、镉、铬、铬（六价）、钴、铜、镍、汞 含量  （测试方法：GB/T17593.2-2007   GB/T17593.3-2006   GB/T17593.4-2006 ）（提供具有CMA资质的第三方检测机构出具的检测报告）；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17、织物线密度（</w:t>
            </w:r>
            <w:proofErr w:type="spellStart"/>
            <w:r w:rsidRPr="00D137E2">
              <w:rPr>
                <w:rStyle w:val="NormalCharacter"/>
                <w:rFonts w:ascii="新宋体" w:eastAsia="新宋体" w:hAnsi="新宋体"/>
                <w:szCs w:val="21"/>
              </w:rPr>
              <w:t>tex</w:t>
            </w:r>
            <w:proofErr w:type="spellEnd"/>
            <w:r w:rsidRPr="00D137E2">
              <w:rPr>
                <w:rStyle w:val="NormalCharacter"/>
                <w:rFonts w:ascii="新宋体" w:eastAsia="新宋体" w:hAnsi="新宋体"/>
                <w:szCs w:val="21"/>
              </w:rPr>
              <w:t xml:space="preserve">）:  </w:t>
            </w:r>
            <w:r w:rsidRPr="00D137E2">
              <w:rPr>
                <w:rStyle w:val="UserStyle14"/>
                <w:rFonts w:ascii="新宋体" w:eastAsia="新宋体" w:hAnsi="新宋体"/>
              </w:rPr>
              <w:t>方向</w:t>
            </w:r>
            <w:r w:rsidRPr="00D137E2">
              <w:rPr>
                <w:rStyle w:val="UserStyle16"/>
                <w:rFonts w:ascii="新宋体" w:eastAsia="新宋体" w:hAnsi="新宋体"/>
              </w:rPr>
              <w:t>1</w:t>
            </w:r>
            <w:r w:rsidRPr="00D137E2">
              <w:rPr>
                <w:rStyle w:val="UserStyle14"/>
                <w:rFonts w:ascii="新宋体" w:eastAsia="新宋体" w:hAnsi="新宋体"/>
              </w:rPr>
              <w:t>≥</w:t>
            </w:r>
            <w:r w:rsidRPr="00D137E2">
              <w:rPr>
                <w:rStyle w:val="UserStyle16"/>
                <w:rFonts w:ascii="新宋体" w:eastAsia="新宋体" w:hAnsi="新宋体"/>
              </w:rPr>
              <w:t>74</w:t>
            </w:r>
            <w:r w:rsidRPr="00D137E2">
              <w:rPr>
                <w:rStyle w:val="UserStyle14"/>
                <w:rFonts w:ascii="新宋体" w:eastAsia="新宋体" w:hAnsi="新宋体"/>
              </w:rPr>
              <w:t>、方向</w:t>
            </w:r>
            <w:r w:rsidRPr="00D137E2">
              <w:rPr>
                <w:rStyle w:val="UserStyle16"/>
                <w:rFonts w:ascii="新宋体" w:eastAsia="新宋体" w:hAnsi="新宋体"/>
              </w:rPr>
              <w:t>2</w:t>
            </w:r>
            <w:r w:rsidRPr="00D137E2">
              <w:rPr>
                <w:rStyle w:val="UserStyle14"/>
                <w:rFonts w:ascii="新宋体" w:eastAsia="新宋体" w:hAnsi="新宋体"/>
              </w:rPr>
              <w:t>≥</w:t>
            </w:r>
            <w:r w:rsidRPr="00D137E2">
              <w:rPr>
                <w:rStyle w:val="UserStyle16"/>
                <w:rFonts w:ascii="新宋体" w:eastAsia="新宋体" w:hAnsi="新宋体"/>
              </w:rPr>
              <w:t>74.5</w:t>
            </w:r>
            <w:r w:rsidRPr="00D137E2">
              <w:rPr>
                <w:rStyle w:val="UserStyle15"/>
                <w:rFonts w:ascii="新宋体" w:eastAsia="新宋体" w:hAnsi="新宋体"/>
                <w:szCs w:val="21"/>
              </w:rPr>
              <w:t>； （</w:t>
            </w:r>
            <w:r w:rsidRPr="00D137E2">
              <w:rPr>
                <w:rStyle w:val="UserStyle14"/>
                <w:rFonts w:ascii="新宋体" w:eastAsia="新宋体" w:hAnsi="新宋体"/>
              </w:rPr>
              <w:t>测试方法：</w:t>
            </w:r>
            <w:r w:rsidRPr="00D137E2">
              <w:rPr>
                <w:rStyle w:val="UserStyle15"/>
                <w:rFonts w:ascii="新宋体" w:eastAsia="新宋体" w:hAnsi="新宋体"/>
                <w:szCs w:val="21"/>
              </w:rPr>
              <w:t>GB/T 29256.5-2012）</w:t>
            </w:r>
            <w:r w:rsidRPr="00D137E2">
              <w:rPr>
                <w:rStyle w:val="NormalCharacter"/>
                <w:rFonts w:ascii="新宋体" w:eastAsia="新宋体" w:hAnsi="新宋体"/>
                <w:szCs w:val="21"/>
              </w:rPr>
              <w:t>（提供具有CMA资质的第三方检测机构出具的检测报告）；</w:t>
            </w:r>
          </w:p>
        </w:tc>
      </w:tr>
      <w:tr w:rsidR="00C96E91" w:rsidTr="00BE39C7">
        <w:trPr>
          <w:trHeight w:val="107"/>
        </w:trPr>
        <w:tc>
          <w:tcPr>
            <w:tcW w:w="709" w:type="dxa"/>
            <w:vMerge/>
            <w:tcBorders>
              <w:left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▲18、织物密度(根/10cm)： </w:t>
            </w:r>
            <w:r w:rsidRPr="00D137E2">
              <w:rPr>
                <w:rStyle w:val="UserStyle14"/>
                <w:rFonts w:ascii="新宋体" w:eastAsia="新宋体" w:hAnsi="新宋体"/>
              </w:rPr>
              <w:t>方向</w:t>
            </w:r>
            <w:r w:rsidRPr="00D137E2">
              <w:rPr>
                <w:rStyle w:val="UserStyle16"/>
                <w:rFonts w:ascii="新宋体" w:eastAsia="新宋体" w:hAnsi="新宋体"/>
              </w:rPr>
              <w:t>1</w:t>
            </w:r>
            <w:r w:rsidRPr="00D137E2">
              <w:rPr>
                <w:rStyle w:val="UserStyle14"/>
                <w:rFonts w:ascii="新宋体" w:eastAsia="新宋体" w:hAnsi="新宋体"/>
              </w:rPr>
              <w:t>≥</w:t>
            </w:r>
            <w:r w:rsidRPr="00D137E2">
              <w:rPr>
                <w:rStyle w:val="UserStyle16"/>
                <w:rFonts w:ascii="新宋体" w:eastAsia="新宋体" w:hAnsi="新宋体"/>
              </w:rPr>
              <w:t>124</w:t>
            </w:r>
            <w:r w:rsidRPr="00D137E2">
              <w:rPr>
                <w:rStyle w:val="UserStyle14"/>
                <w:rFonts w:ascii="新宋体" w:eastAsia="新宋体" w:hAnsi="新宋体"/>
              </w:rPr>
              <w:t>、方向</w:t>
            </w:r>
            <w:r w:rsidRPr="00D137E2">
              <w:rPr>
                <w:rStyle w:val="UserStyle16"/>
                <w:rFonts w:ascii="新宋体" w:eastAsia="新宋体" w:hAnsi="新宋体"/>
              </w:rPr>
              <w:t>2</w:t>
            </w:r>
            <w:r w:rsidRPr="00D137E2">
              <w:rPr>
                <w:rStyle w:val="UserStyle14"/>
                <w:rFonts w:ascii="新宋体" w:eastAsia="新宋体" w:hAnsi="新宋体"/>
              </w:rPr>
              <w:t>≥</w:t>
            </w:r>
            <w:r w:rsidRPr="00D137E2">
              <w:rPr>
                <w:rStyle w:val="UserStyle16"/>
                <w:rFonts w:ascii="新宋体" w:eastAsia="新宋体" w:hAnsi="新宋体"/>
              </w:rPr>
              <w:t>176</w:t>
            </w:r>
            <w:r w:rsidRPr="00D137E2">
              <w:rPr>
                <w:rStyle w:val="UserStyle15"/>
                <w:rFonts w:ascii="新宋体" w:eastAsia="新宋体" w:hAnsi="新宋体"/>
                <w:szCs w:val="21"/>
              </w:rPr>
              <w:t>； （</w:t>
            </w:r>
            <w:r w:rsidRPr="00D137E2">
              <w:rPr>
                <w:rStyle w:val="UserStyle14"/>
                <w:rFonts w:ascii="新宋体" w:eastAsia="新宋体" w:hAnsi="新宋体"/>
              </w:rPr>
              <w:t>测试方法：</w:t>
            </w:r>
            <w:r w:rsidRPr="00D137E2">
              <w:rPr>
                <w:rStyle w:val="UserStyle15"/>
                <w:rFonts w:ascii="新宋体" w:eastAsia="新宋体" w:hAnsi="新宋体"/>
                <w:szCs w:val="21"/>
              </w:rPr>
              <w:t>GB/T 4668-1995）</w:t>
            </w:r>
            <w:r w:rsidRPr="00D137E2">
              <w:rPr>
                <w:rStyle w:val="NormalCharacter"/>
                <w:rFonts w:ascii="新宋体" w:eastAsia="新宋体" w:hAnsi="新宋体"/>
                <w:szCs w:val="21"/>
              </w:rPr>
              <w:t>（提供具有CMA资质的第三方检测机构出具的检测报告）；</w:t>
            </w:r>
          </w:p>
        </w:tc>
      </w:tr>
      <w:tr w:rsidR="00C96E91" w:rsidTr="00BE39C7">
        <w:trPr>
          <w:trHeight w:val="107"/>
        </w:trPr>
        <w:tc>
          <w:tcPr>
            <w:tcW w:w="709" w:type="dxa"/>
            <w:vMerge/>
            <w:tcBorders>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C96E91" w:rsidRPr="00D137E2" w:rsidRDefault="00C96E91" w:rsidP="00BE39C7">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spacing w:line="276" w:lineRule="auto"/>
              <w:jc w:val="left"/>
              <w:rPr>
                <w:rStyle w:val="NormalCharacter"/>
                <w:rFonts w:ascii="新宋体" w:eastAsia="新宋体" w:hAnsi="新宋体"/>
                <w:szCs w:val="21"/>
              </w:rPr>
            </w:pPr>
            <w:r w:rsidRPr="00D137E2">
              <w:rPr>
                <w:rStyle w:val="NormalCharacter"/>
                <w:rFonts w:ascii="新宋体" w:eastAsia="新宋体" w:hAnsi="新宋体"/>
                <w:szCs w:val="21"/>
              </w:rPr>
              <w:t>19、配件：</w:t>
            </w:r>
            <w:r w:rsidRPr="00D137E2">
              <w:rPr>
                <w:rStyle w:val="AnnotationReference"/>
                <w:rFonts w:ascii="新宋体" w:eastAsia="新宋体" w:hAnsi="新宋体"/>
                <w:szCs w:val="21"/>
              </w:rPr>
              <w:br/>
            </w:r>
            <w:r w:rsidRPr="00D137E2">
              <w:rPr>
                <w:rStyle w:val="NormalCharacter"/>
                <w:rFonts w:ascii="新宋体" w:eastAsia="新宋体" w:hAnsi="新宋体"/>
                <w:szCs w:val="21"/>
              </w:rPr>
              <w:t>（1）手动机构：采用A3金属材质，表面喷涂处理，驱动系统材质</w:t>
            </w:r>
            <w:r w:rsidRPr="00D137E2">
              <w:rPr>
                <w:rStyle w:val="NormalCharacter"/>
                <w:rFonts w:ascii="新宋体" w:eastAsia="新宋体" w:hAnsi="新宋体"/>
                <w:szCs w:val="21"/>
              </w:rPr>
              <w:lastRenderedPageBreak/>
              <w:t>为PBT＋30％PC，具有良好的综合性能：机械强度高、耐疲劳，尺寸稳定性好，高温下也极少有变形；驱动系统内的抱闸装置选用碳素弹簧钢丝；</w:t>
            </w:r>
          </w:p>
          <w:p w:rsidR="00C96E91" w:rsidRPr="00D137E2" w:rsidRDefault="00C96E91" w:rsidP="00BE39C7">
            <w:pPr>
              <w:spacing w:line="276" w:lineRule="auto"/>
              <w:jc w:val="left"/>
              <w:rPr>
                <w:rStyle w:val="NormalCharacter"/>
                <w:rFonts w:ascii="新宋体" w:eastAsia="新宋体" w:hAnsi="新宋体"/>
                <w:szCs w:val="21"/>
              </w:rPr>
            </w:pPr>
            <w:r w:rsidRPr="00D137E2">
              <w:rPr>
                <w:rStyle w:val="NormalCharacter"/>
                <w:rFonts w:ascii="新宋体" w:eastAsia="新宋体" w:hAnsi="新宋体"/>
                <w:szCs w:val="21"/>
              </w:rPr>
              <w:t>（2）卷管：化学成分为6063-T5（GB/T3190）符合GB/T26014-2010《非建筑用铝合金装饰型材》的标准要求，直径≥￠38mm，壁厚≥0.8mm，抗弯能力强，2.5m范围内不会因挠度产生弯曲变形；表面阳极氧化处理。管材外表面带插槽，确保面料不会</w:t>
            </w:r>
            <w:proofErr w:type="gramStart"/>
            <w:r w:rsidRPr="00D137E2">
              <w:rPr>
                <w:rStyle w:val="NormalCharacter"/>
                <w:rFonts w:ascii="新宋体" w:eastAsia="新宋体" w:hAnsi="新宋体"/>
                <w:szCs w:val="21"/>
              </w:rPr>
              <w:t>从卷管表面</w:t>
            </w:r>
            <w:proofErr w:type="gramEnd"/>
            <w:r w:rsidRPr="00D137E2">
              <w:rPr>
                <w:rStyle w:val="NormalCharacter"/>
                <w:rFonts w:ascii="新宋体" w:eastAsia="新宋体" w:hAnsi="新宋体"/>
                <w:szCs w:val="21"/>
              </w:rPr>
              <w:t>脱落，帘布顶端插入管槽内，采用焊接连接的方法，保证顶部</w:t>
            </w:r>
            <w:proofErr w:type="gramStart"/>
            <w:r w:rsidRPr="00D137E2">
              <w:rPr>
                <w:rStyle w:val="NormalCharacter"/>
                <w:rFonts w:ascii="新宋体" w:eastAsia="新宋体" w:hAnsi="新宋体"/>
                <w:szCs w:val="21"/>
              </w:rPr>
              <w:t>不</w:t>
            </w:r>
            <w:proofErr w:type="gramEnd"/>
            <w:r w:rsidRPr="00D137E2">
              <w:rPr>
                <w:rStyle w:val="NormalCharacter"/>
                <w:rFonts w:ascii="新宋体" w:eastAsia="新宋体" w:hAnsi="新宋体"/>
                <w:szCs w:val="21"/>
              </w:rPr>
              <w:t>起皱（严禁采用订书机钉包装带插入的方式）。</w:t>
            </w:r>
          </w:p>
          <w:p w:rsidR="00C96E91" w:rsidRPr="00D137E2" w:rsidRDefault="00C96E91" w:rsidP="00BE39C7">
            <w:pPr>
              <w:spacing w:line="276" w:lineRule="auto"/>
              <w:jc w:val="left"/>
              <w:rPr>
                <w:rStyle w:val="NormalCharacter"/>
                <w:rFonts w:ascii="新宋体" w:eastAsia="新宋体" w:hAnsi="新宋体"/>
                <w:szCs w:val="21"/>
              </w:rPr>
            </w:pPr>
            <w:r w:rsidRPr="00D137E2">
              <w:rPr>
                <w:rStyle w:val="NormalCharacter"/>
                <w:rFonts w:ascii="新宋体" w:eastAsia="新宋体" w:hAnsi="新宋体"/>
                <w:szCs w:val="21"/>
              </w:rPr>
              <w:t>（3）帘布加工工艺：采用超声波裁切机进行标准裁切，保证裁切尺寸的标准及面料的平整性，面料无毛边；面料与底槽的连接采用高频热压焊接机进行焊接连接，焊接处平顺、无空隙、不外露，不得使用订书机钉包装带进行连接。一切加工工艺保证质量及面料表面整体美观。</w:t>
            </w:r>
          </w:p>
        </w:tc>
      </w:tr>
    </w:tbl>
    <w:p w:rsidR="00C96E91" w:rsidRDefault="00C96E91" w:rsidP="00C96E91">
      <w:pPr>
        <w:rPr>
          <w:rStyle w:val="NormalCharacter"/>
          <w:rFonts w:ascii="宋体" w:hAnsi="宋体"/>
          <w:color w:val="000000"/>
          <w:kern w:val="0"/>
          <w:sz w:val="22"/>
        </w:rPr>
      </w:pPr>
      <w:r>
        <w:rPr>
          <w:rStyle w:val="NormalCharacter"/>
          <w:rFonts w:ascii="宋体" w:hAnsi="宋体"/>
          <w:color w:val="000000"/>
          <w:kern w:val="0"/>
          <w:sz w:val="22"/>
        </w:rPr>
        <w:lastRenderedPageBreak/>
        <w:t>注：1、以上带“</w:t>
      </w:r>
      <w:r>
        <w:rPr>
          <w:rStyle w:val="NormalCharacter"/>
        </w:rPr>
        <w:t>▲</w:t>
      </w:r>
      <w:r>
        <w:rPr>
          <w:rStyle w:val="NormalCharacter"/>
          <w:rFonts w:ascii="宋体" w:hAnsi="宋体"/>
          <w:color w:val="000000"/>
          <w:kern w:val="0"/>
          <w:sz w:val="22"/>
        </w:rPr>
        <w:t>”是产品的重要技术标准，必须提供具有CMA及CAL资质的检测机构签发的证明文件，技术指标必须在同一证明文件中体现，缺</w:t>
      </w:r>
      <w:proofErr w:type="gramStart"/>
      <w:r>
        <w:rPr>
          <w:rStyle w:val="NormalCharacter"/>
          <w:rFonts w:ascii="宋体" w:hAnsi="宋体"/>
          <w:color w:val="000000"/>
          <w:kern w:val="0"/>
          <w:sz w:val="22"/>
        </w:rPr>
        <w:t>一项按负偏离</w:t>
      </w:r>
      <w:proofErr w:type="gramEnd"/>
      <w:r>
        <w:rPr>
          <w:rStyle w:val="NormalCharacter"/>
          <w:rFonts w:ascii="宋体" w:hAnsi="宋体"/>
          <w:color w:val="000000"/>
          <w:kern w:val="0"/>
          <w:sz w:val="22"/>
        </w:rPr>
        <w:t>扣分。</w:t>
      </w:r>
      <w:r>
        <w:rPr>
          <w:rStyle w:val="NormalCharacter"/>
          <w:rFonts w:ascii="宋体" w:hAnsi="宋体"/>
          <w:color w:val="000000"/>
          <w:kern w:val="0"/>
          <w:sz w:val="22"/>
        </w:rPr>
        <w:br/>
        <w:t>2、未按要求提供或者有一项不符合视为该产品负偏离。（原件核查）。</w:t>
      </w:r>
    </w:p>
    <w:p w:rsidR="00C96E91" w:rsidRPr="00D137E2" w:rsidRDefault="00C96E91" w:rsidP="00C96E91">
      <w:pPr>
        <w:rPr>
          <w:b/>
          <w:szCs w:val="21"/>
        </w:rPr>
      </w:pPr>
    </w:p>
    <w:p w:rsidR="00C96E91" w:rsidRDefault="00C96E91" w:rsidP="00C96E91">
      <w:pPr>
        <w:pStyle w:val="3"/>
        <w:jc w:val="left"/>
        <w:rPr>
          <w:rFonts w:ascii="新宋体" w:eastAsia="新宋体" w:hAnsi="新宋体"/>
          <w:kern w:val="44"/>
          <w:sz w:val="30"/>
          <w:szCs w:val="30"/>
        </w:rPr>
      </w:pPr>
      <w:r>
        <w:rPr>
          <w:rFonts w:ascii="新宋体" w:eastAsia="新宋体" w:hAnsi="新宋体" w:hint="eastAsia"/>
          <w:kern w:val="44"/>
          <w:sz w:val="30"/>
          <w:szCs w:val="30"/>
        </w:rPr>
        <w:t>五、检测报告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C96E91" w:rsidTr="00BE39C7">
        <w:tc>
          <w:tcPr>
            <w:tcW w:w="709"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序号</w:t>
            </w:r>
          </w:p>
        </w:tc>
        <w:tc>
          <w:tcPr>
            <w:tcW w:w="1559"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rsidR="00C96E91" w:rsidRDefault="00C96E91" w:rsidP="00BE39C7">
            <w:pPr>
              <w:spacing w:line="276" w:lineRule="auto"/>
              <w:jc w:val="center"/>
              <w:rPr>
                <w:rFonts w:ascii="新宋体" w:eastAsia="新宋体" w:hAnsi="新宋体"/>
              </w:rPr>
            </w:pPr>
            <w:r>
              <w:rPr>
                <w:rFonts w:ascii="新宋体" w:eastAsia="新宋体" w:hAnsi="新宋体" w:hint="eastAsia"/>
              </w:rPr>
              <w:t>检测指标</w:t>
            </w:r>
          </w:p>
        </w:tc>
      </w:tr>
      <w:tr w:rsidR="00C96E91" w:rsidRPr="0077370E" w:rsidTr="00BE39C7">
        <w:tc>
          <w:tcPr>
            <w:tcW w:w="709" w:type="dxa"/>
          </w:tcPr>
          <w:p w:rsidR="00C96E91" w:rsidRPr="0077370E" w:rsidRDefault="00C96E91" w:rsidP="00BE39C7">
            <w:pPr>
              <w:spacing w:line="276" w:lineRule="auto"/>
              <w:rPr>
                <w:rFonts w:ascii="新宋体" w:eastAsia="新宋体" w:hAnsi="新宋体"/>
              </w:rPr>
            </w:pPr>
            <w:r w:rsidRPr="0077370E">
              <w:rPr>
                <w:rFonts w:ascii="新宋体" w:eastAsia="新宋体" w:hAnsi="新宋体" w:hint="eastAsia"/>
              </w:rPr>
              <w:t>1</w:t>
            </w:r>
          </w:p>
        </w:tc>
        <w:tc>
          <w:tcPr>
            <w:tcW w:w="1559" w:type="dxa"/>
          </w:tcPr>
          <w:p w:rsidR="00C96E91" w:rsidRPr="0077370E" w:rsidRDefault="00C96E91" w:rsidP="00BE39C7">
            <w:pPr>
              <w:spacing w:line="276" w:lineRule="auto"/>
              <w:rPr>
                <w:rFonts w:ascii="新宋体" w:eastAsia="新宋体" w:hAnsi="新宋体"/>
              </w:rPr>
            </w:pPr>
          </w:p>
        </w:tc>
        <w:tc>
          <w:tcPr>
            <w:tcW w:w="2127" w:type="dxa"/>
          </w:tcPr>
          <w:p w:rsidR="00C96E91" w:rsidRPr="0077370E" w:rsidRDefault="00C96E91" w:rsidP="00BE39C7">
            <w:pPr>
              <w:spacing w:line="276" w:lineRule="auto"/>
              <w:rPr>
                <w:rFonts w:ascii="新宋体" w:eastAsia="新宋体" w:hAnsi="新宋体"/>
              </w:rPr>
            </w:pPr>
          </w:p>
        </w:tc>
        <w:tc>
          <w:tcPr>
            <w:tcW w:w="4536" w:type="dxa"/>
          </w:tcPr>
          <w:p w:rsidR="00C96E91" w:rsidRPr="0077370E" w:rsidRDefault="00C96E91" w:rsidP="00BE39C7">
            <w:pPr>
              <w:spacing w:line="276" w:lineRule="auto"/>
              <w:rPr>
                <w:rFonts w:ascii="新宋体" w:eastAsia="新宋体" w:hAnsi="新宋体"/>
              </w:rPr>
            </w:pPr>
          </w:p>
        </w:tc>
      </w:tr>
      <w:tr w:rsidR="00C96E91" w:rsidRPr="0077370E" w:rsidTr="00BE39C7">
        <w:tc>
          <w:tcPr>
            <w:tcW w:w="709" w:type="dxa"/>
          </w:tcPr>
          <w:p w:rsidR="00C96E91" w:rsidRPr="0077370E" w:rsidRDefault="00C96E91" w:rsidP="00BE39C7">
            <w:pPr>
              <w:spacing w:line="276" w:lineRule="auto"/>
              <w:rPr>
                <w:rFonts w:ascii="新宋体" w:eastAsia="新宋体" w:hAnsi="新宋体"/>
              </w:rPr>
            </w:pPr>
            <w:r w:rsidRPr="0077370E">
              <w:rPr>
                <w:rFonts w:ascii="新宋体" w:eastAsia="新宋体" w:hAnsi="新宋体" w:hint="eastAsia"/>
              </w:rPr>
              <w:t>2</w:t>
            </w:r>
          </w:p>
        </w:tc>
        <w:tc>
          <w:tcPr>
            <w:tcW w:w="1559" w:type="dxa"/>
          </w:tcPr>
          <w:p w:rsidR="00C96E91" w:rsidRPr="0077370E" w:rsidRDefault="00C96E91" w:rsidP="00BE39C7">
            <w:pPr>
              <w:spacing w:line="276" w:lineRule="auto"/>
              <w:rPr>
                <w:rFonts w:ascii="新宋体" w:eastAsia="新宋体" w:hAnsi="新宋体"/>
              </w:rPr>
            </w:pPr>
          </w:p>
        </w:tc>
        <w:tc>
          <w:tcPr>
            <w:tcW w:w="2127" w:type="dxa"/>
          </w:tcPr>
          <w:p w:rsidR="00C96E91" w:rsidRPr="0077370E" w:rsidRDefault="00C96E91" w:rsidP="00BE39C7">
            <w:pPr>
              <w:spacing w:line="276" w:lineRule="auto"/>
              <w:rPr>
                <w:rFonts w:ascii="新宋体" w:eastAsia="新宋体" w:hAnsi="新宋体"/>
              </w:rPr>
            </w:pPr>
          </w:p>
        </w:tc>
        <w:tc>
          <w:tcPr>
            <w:tcW w:w="4536" w:type="dxa"/>
          </w:tcPr>
          <w:p w:rsidR="00C96E91" w:rsidRPr="0077370E" w:rsidRDefault="00C96E91" w:rsidP="00BE39C7">
            <w:pPr>
              <w:spacing w:line="276" w:lineRule="auto"/>
              <w:rPr>
                <w:rFonts w:ascii="新宋体" w:eastAsia="新宋体" w:hAnsi="新宋体"/>
              </w:rPr>
            </w:pPr>
          </w:p>
        </w:tc>
      </w:tr>
      <w:tr w:rsidR="00C96E91" w:rsidRPr="0077370E" w:rsidTr="00BE39C7">
        <w:tc>
          <w:tcPr>
            <w:tcW w:w="709" w:type="dxa"/>
          </w:tcPr>
          <w:p w:rsidR="00C96E91" w:rsidRPr="0077370E" w:rsidRDefault="00C96E91" w:rsidP="00BE39C7">
            <w:pPr>
              <w:spacing w:line="276" w:lineRule="auto"/>
              <w:rPr>
                <w:rFonts w:ascii="新宋体" w:eastAsia="新宋体" w:hAnsi="新宋体"/>
              </w:rPr>
            </w:pPr>
          </w:p>
        </w:tc>
        <w:tc>
          <w:tcPr>
            <w:tcW w:w="1559" w:type="dxa"/>
          </w:tcPr>
          <w:p w:rsidR="00C96E91" w:rsidRPr="0077370E" w:rsidRDefault="00C96E91" w:rsidP="00BE39C7">
            <w:pPr>
              <w:spacing w:line="276" w:lineRule="auto"/>
              <w:rPr>
                <w:rFonts w:ascii="新宋体" w:eastAsia="新宋体" w:hAnsi="新宋体"/>
              </w:rPr>
            </w:pPr>
          </w:p>
        </w:tc>
        <w:tc>
          <w:tcPr>
            <w:tcW w:w="2127" w:type="dxa"/>
          </w:tcPr>
          <w:p w:rsidR="00C96E91" w:rsidRPr="0077370E" w:rsidRDefault="00C96E91" w:rsidP="00BE39C7">
            <w:pPr>
              <w:spacing w:line="276" w:lineRule="auto"/>
              <w:rPr>
                <w:rFonts w:ascii="新宋体" w:eastAsia="新宋体" w:hAnsi="新宋体"/>
              </w:rPr>
            </w:pPr>
          </w:p>
        </w:tc>
        <w:tc>
          <w:tcPr>
            <w:tcW w:w="4536" w:type="dxa"/>
          </w:tcPr>
          <w:p w:rsidR="00C96E91" w:rsidRPr="0077370E" w:rsidRDefault="00C96E91" w:rsidP="00BE39C7">
            <w:pPr>
              <w:spacing w:line="276" w:lineRule="auto"/>
              <w:rPr>
                <w:rFonts w:ascii="新宋体" w:eastAsia="新宋体" w:hAnsi="新宋体"/>
              </w:rPr>
            </w:pPr>
          </w:p>
        </w:tc>
      </w:tr>
    </w:tbl>
    <w:p w:rsidR="00C96E91" w:rsidRPr="0077370E" w:rsidRDefault="00C96E91" w:rsidP="00C96E91">
      <w:pPr>
        <w:spacing w:line="360" w:lineRule="auto"/>
        <w:rPr>
          <w:rFonts w:ascii="新宋体" w:eastAsia="新宋体" w:hAnsi="新宋体"/>
          <w:b/>
          <w:szCs w:val="21"/>
        </w:rPr>
      </w:pPr>
      <w:r w:rsidRPr="0077370E">
        <w:rPr>
          <w:rFonts w:ascii="新宋体" w:eastAsia="新宋体" w:hAnsi="新宋体" w:hint="eastAsia"/>
          <w:b/>
          <w:szCs w:val="21"/>
        </w:rPr>
        <w:t>备注：</w:t>
      </w:r>
    </w:p>
    <w:p w:rsidR="00C96E91" w:rsidRPr="0077370E" w:rsidRDefault="00C96E91" w:rsidP="00C96E91">
      <w:pPr>
        <w:spacing w:line="360" w:lineRule="auto"/>
        <w:rPr>
          <w:rFonts w:ascii="新宋体" w:eastAsia="新宋体" w:hAnsi="新宋体"/>
          <w:b/>
          <w:szCs w:val="21"/>
        </w:rPr>
      </w:pPr>
      <w:r w:rsidRPr="0077370E">
        <w:rPr>
          <w:rFonts w:ascii="新宋体" w:eastAsia="新宋体" w:hAnsi="新宋体" w:hint="eastAsia"/>
          <w:b/>
          <w:szCs w:val="21"/>
        </w:rPr>
        <w:t>1、投标文件应按要求提供相应检测报告。</w:t>
      </w:r>
    </w:p>
    <w:p w:rsidR="00C96E91" w:rsidRPr="0077370E" w:rsidRDefault="00C96E91" w:rsidP="00C96E91">
      <w:pPr>
        <w:spacing w:line="360" w:lineRule="auto"/>
        <w:rPr>
          <w:rFonts w:ascii="新宋体" w:eastAsia="新宋体" w:hAnsi="新宋体"/>
          <w:b/>
          <w:szCs w:val="21"/>
        </w:rPr>
      </w:pPr>
      <w:r w:rsidRPr="0077370E">
        <w:rPr>
          <w:rFonts w:ascii="新宋体" w:eastAsia="新宋体" w:hAnsi="新宋体" w:hint="eastAsia"/>
          <w:b/>
          <w:szCs w:val="21"/>
        </w:rPr>
        <w:t>2、检测报告（均为原件扫描件）的提供要求：</w:t>
      </w:r>
    </w:p>
    <w:p w:rsidR="00C96E91" w:rsidRPr="0077370E" w:rsidRDefault="00C96E91" w:rsidP="00C96E91">
      <w:pPr>
        <w:spacing w:line="360" w:lineRule="auto"/>
        <w:rPr>
          <w:rFonts w:ascii="新宋体" w:eastAsia="新宋体" w:hAnsi="新宋体"/>
          <w:b/>
          <w:szCs w:val="21"/>
        </w:rPr>
      </w:pPr>
      <w:r w:rsidRPr="0077370E">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rsidR="00C96E91" w:rsidRPr="0077370E" w:rsidRDefault="00C96E91" w:rsidP="00C96E91">
      <w:pPr>
        <w:spacing w:line="360" w:lineRule="auto"/>
        <w:rPr>
          <w:rFonts w:ascii="新宋体" w:eastAsia="新宋体" w:hAnsi="新宋体"/>
          <w:b/>
          <w:szCs w:val="21"/>
        </w:rPr>
      </w:pPr>
      <w:r w:rsidRPr="0077370E">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rsidR="00C96E91" w:rsidRPr="0077370E" w:rsidRDefault="00C96E91" w:rsidP="00C96E91">
      <w:pPr>
        <w:rPr>
          <w:sz w:val="24"/>
        </w:rPr>
      </w:pPr>
    </w:p>
    <w:p w:rsidR="00C96E91" w:rsidRDefault="00C96E91" w:rsidP="00C96E91">
      <w:pPr>
        <w:rPr>
          <w:rFonts w:ascii="宋体" w:hAnsi="宋体"/>
          <w:bCs/>
          <w:color w:val="000000"/>
          <w:szCs w:val="21"/>
        </w:rPr>
      </w:pPr>
    </w:p>
    <w:p w:rsidR="00C96E91" w:rsidRDefault="00C96E91" w:rsidP="00C96E91">
      <w:pPr>
        <w:pStyle w:val="3"/>
        <w:jc w:val="left"/>
        <w:rPr>
          <w:rFonts w:ascii="新宋体" w:eastAsia="新宋体" w:hAnsi="新宋体"/>
          <w:kern w:val="44"/>
          <w:sz w:val="30"/>
          <w:szCs w:val="30"/>
        </w:rPr>
      </w:pPr>
      <w:r>
        <w:rPr>
          <w:rFonts w:ascii="新宋体" w:eastAsia="新宋体" w:hAnsi="新宋体" w:hint="eastAsia"/>
          <w:kern w:val="44"/>
          <w:sz w:val="30"/>
          <w:szCs w:val="30"/>
        </w:rPr>
        <w:lastRenderedPageBreak/>
        <w:t>六、商务需求</w:t>
      </w:r>
    </w:p>
    <w:p w:rsidR="00C96E91" w:rsidRDefault="00C96E91" w:rsidP="00C96E91">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C96E91" w:rsidRDefault="00C96E91" w:rsidP="00C96E91">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p w:rsidR="00C96E91" w:rsidRDefault="00C96E91" w:rsidP="00C96E91">
      <w:pPr>
        <w:spacing w:line="360" w:lineRule="auto"/>
        <w:rPr>
          <w:rFonts w:ascii="新宋体" w:eastAsia="新宋体" w:hAnsi="新宋体"/>
          <w:b/>
        </w:rPr>
      </w:pP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250"/>
        <w:gridCol w:w="10"/>
        <w:gridCol w:w="1610"/>
        <w:gridCol w:w="10"/>
        <w:gridCol w:w="5930"/>
        <w:gridCol w:w="10"/>
      </w:tblGrid>
      <w:tr w:rsidR="00C96E91" w:rsidTr="00BE39C7">
        <w:trPr>
          <w:gridAfter w:val="1"/>
          <w:wAfter w:w="10" w:type="dxa"/>
          <w:trHeight w:val="397"/>
        </w:trPr>
        <w:tc>
          <w:tcPr>
            <w:tcW w:w="1260" w:type="dxa"/>
            <w:gridSpan w:val="2"/>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jc w:val="center"/>
              <w:rPr>
                <w:rStyle w:val="NormalCharacter"/>
                <w:rFonts w:ascii="新宋体" w:eastAsia="新宋体" w:hAnsi="新宋体"/>
                <w:b/>
                <w:szCs w:val="21"/>
              </w:rPr>
            </w:pPr>
            <w:r w:rsidRPr="00D137E2">
              <w:rPr>
                <w:rStyle w:val="NormalCharacter"/>
                <w:rFonts w:ascii="新宋体" w:eastAsia="新宋体" w:hAnsi="新宋体"/>
                <w:b/>
                <w:szCs w:val="21"/>
              </w:rPr>
              <w:t>序号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jc w:val="center"/>
              <w:rPr>
                <w:rStyle w:val="NormalCharacter"/>
                <w:rFonts w:ascii="新宋体" w:eastAsia="新宋体" w:hAnsi="新宋体"/>
                <w:b/>
                <w:szCs w:val="21"/>
              </w:rPr>
            </w:pPr>
            <w:r w:rsidRPr="00D137E2">
              <w:rPr>
                <w:rStyle w:val="NormalCharacter"/>
                <w:rFonts w:ascii="新宋体" w:eastAsia="新宋体" w:hAnsi="新宋体"/>
                <w:b/>
                <w:szCs w:val="21"/>
              </w:rPr>
              <w:t>目录</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C96E91" w:rsidRPr="00D137E2" w:rsidRDefault="00C96E91" w:rsidP="00BE39C7">
            <w:pPr>
              <w:jc w:val="center"/>
              <w:rPr>
                <w:rStyle w:val="NormalCharacter"/>
                <w:rFonts w:ascii="新宋体" w:eastAsia="新宋体" w:hAnsi="新宋体"/>
                <w:b/>
                <w:szCs w:val="21"/>
              </w:rPr>
            </w:pPr>
            <w:r w:rsidRPr="00D137E2">
              <w:rPr>
                <w:rStyle w:val="NormalCharacter"/>
                <w:rFonts w:ascii="新宋体" w:eastAsia="新宋体" w:hAnsi="新宋体"/>
                <w:b/>
                <w:szCs w:val="21"/>
              </w:rPr>
              <w:t>招标商务需求</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280"/>
        </w:trPr>
        <w:tc>
          <w:tcPr>
            <w:tcW w:w="8820" w:type="dxa"/>
            <w:gridSpan w:val="6"/>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b/>
                <w:szCs w:val="21"/>
              </w:rPr>
              <w:t>（一）免费保修期内售后服务要求</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2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szCs w:val="21"/>
              </w:rPr>
            </w:pPr>
            <w:r>
              <w:rPr>
                <w:rStyle w:val="NormalCharacter"/>
                <w:rFonts w:ascii="宋体" w:hAnsi="宋体"/>
                <w:szCs w:val="21"/>
              </w:rPr>
              <w:t>维修响应及故障解决时间</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cs="宋体"/>
                <w:bCs/>
                <w:szCs w:val="21"/>
              </w:rPr>
              <w:t>在保修期内，一旦发生质量问题，中标人保证在接到通知24小时内赶到现场进行修理或更换。</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2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r>
              <w:rPr>
                <w:rStyle w:val="NormalCharacter"/>
                <w:rFonts w:ascii="宋体" w:hAnsi="宋体"/>
                <w:szCs w:val="21"/>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szCs w:val="21"/>
              </w:rPr>
            </w:pPr>
            <w:r>
              <w:rPr>
                <w:rStyle w:val="NormalCharacter"/>
                <w:rFonts w:ascii="宋体" w:hAnsi="宋体"/>
                <w:szCs w:val="21"/>
              </w:rPr>
              <w:t>关于免费保修期</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cs="宋体"/>
                <w:bCs/>
                <w:szCs w:val="21"/>
              </w:rPr>
              <w:t>★1.1货物免费保修期</w:t>
            </w:r>
            <w:r>
              <w:rPr>
                <w:rStyle w:val="NormalCharacter"/>
                <w:rFonts w:ascii="宋体" w:hAnsi="宋体" w:cs="宋体"/>
                <w:bCs/>
                <w:szCs w:val="21"/>
                <w:u w:val="single" w:color="000000"/>
              </w:rPr>
              <w:t>1</w:t>
            </w:r>
            <w:r>
              <w:rPr>
                <w:rStyle w:val="NormalCharacter"/>
                <w:rFonts w:ascii="宋体" w:hAnsi="宋体" w:cs="宋体"/>
                <w:bCs/>
                <w:szCs w:val="21"/>
              </w:rPr>
              <w:t>年，时间</w:t>
            </w:r>
            <w:proofErr w:type="gramStart"/>
            <w:r>
              <w:rPr>
                <w:rStyle w:val="NormalCharacter"/>
                <w:rFonts w:ascii="宋体" w:hAnsi="宋体" w:cs="宋体"/>
                <w:bCs/>
                <w:szCs w:val="21"/>
              </w:rPr>
              <w:t>自最终</w:t>
            </w:r>
            <w:proofErr w:type="gramEnd"/>
            <w:r>
              <w:rPr>
                <w:rStyle w:val="NormalCharacter"/>
                <w:rFonts w:ascii="宋体" w:hAnsi="宋体" w:cs="宋体"/>
                <w:bCs/>
                <w:szCs w:val="21"/>
              </w:rPr>
              <w:t>验收合格并交付使用之日起计算。</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523"/>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3</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rPr>
                <w:rStyle w:val="NormalCharacter"/>
                <w:rFonts w:ascii="宋体" w:hAnsi="宋体"/>
                <w:b/>
                <w:szCs w:val="21"/>
              </w:rPr>
            </w:pPr>
            <w:r>
              <w:rPr>
                <w:rStyle w:val="NormalCharacter"/>
                <w:rFonts w:ascii="宋体" w:hAnsi="宋体" w:cs="宋体"/>
                <w:bCs/>
                <w:szCs w:val="21"/>
              </w:rPr>
              <w:t>维护保养</w:t>
            </w:r>
          </w:p>
        </w:tc>
        <w:tc>
          <w:tcPr>
            <w:tcW w:w="594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rPr>
                <w:rStyle w:val="NormalCharacter"/>
                <w:rFonts w:ascii="宋体" w:hAnsi="宋体"/>
                <w:b/>
                <w:szCs w:val="21"/>
              </w:rPr>
            </w:pPr>
            <w:r>
              <w:rPr>
                <w:rStyle w:val="NormalCharacter"/>
                <w:rFonts w:ascii="宋体" w:hAnsi="宋体" w:cs="宋体"/>
                <w:bCs/>
                <w:szCs w:val="21"/>
              </w:rPr>
              <w:t>中标人应定期对产品进行</w:t>
            </w:r>
            <w:proofErr w:type="gramStart"/>
            <w:r>
              <w:rPr>
                <w:rStyle w:val="NormalCharacter"/>
                <w:rFonts w:ascii="宋体" w:hAnsi="宋体" w:cs="宋体"/>
                <w:bCs/>
                <w:szCs w:val="21"/>
              </w:rPr>
              <w:t>预维护</w:t>
            </w:r>
            <w:proofErr w:type="gramEnd"/>
            <w:r>
              <w:rPr>
                <w:rStyle w:val="NormalCharacter"/>
                <w:rFonts w:ascii="宋体" w:hAnsi="宋体" w:cs="宋体"/>
                <w:bCs/>
                <w:szCs w:val="21"/>
              </w:rPr>
              <w:t>保养，每季度 1 次，以防患于未然。在整个产品运行过程中，中标人帮助采购人解决在应用过程中遇到的各种技术问题。</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280"/>
        </w:trPr>
        <w:tc>
          <w:tcPr>
            <w:tcW w:w="8820" w:type="dxa"/>
            <w:gridSpan w:val="6"/>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b/>
                <w:szCs w:val="21"/>
              </w:rPr>
              <w:t>（二）免费保修期外售后服务要求</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终身服务</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szCs w:val="21"/>
              </w:rPr>
            </w:pPr>
            <w:r>
              <w:rPr>
                <w:rStyle w:val="NormalCharacter"/>
                <w:rFonts w:ascii="宋体" w:hAnsi="宋体"/>
                <w:szCs w:val="21"/>
              </w:rPr>
              <w:t>保修期后，定期对货物进行维护保养及正常的零部件维修，不</w:t>
            </w:r>
          </w:p>
          <w:p w:rsidR="00C96E91" w:rsidRDefault="00C96E91" w:rsidP="00BE39C7">
            <w:pPr>
              <w:spacing w:line="400" w:lineRule="exact"/>
              <w:rPr>
                <w:rStyle w:val="NormalCharacter"/>
                <w:rFonts w:ascii="宋体" w:hAnsi="宋体"/>
                <w:b/>
                <w:szCs w:val="21"/>
              </w:rPr>
            </w:pPr>
            <w:r>
              <w:rPr>
                <w:rStyle w:val="NormalCharacter"/>
                <w:rFonts w:ascii="宋体" w:hAnsi="宋体"/>
                <w:szCs w:val="21"/>
              </w:rPr>
              <w:t>收取任何费用，需要更换零部件的，只收取零部件成本费用。</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免费保修期</w:t>
            </w:r>
            <w:proofErr w:type="gramStart"/>
            <w:r>
              <w:rPr>
                <w:rStyle w:val="NormalCharacter"/>
                <w:rFonts w:ascii="宋体" w:hAnsi="宋体" w:cs="宋体"/>
                <w:bCs/>
                <w:szCs w:val="21"/>
              </w:rPr>
              <w:t>外建议</w:t>
            </w:r>
            <w:proofErr w:type="gramEnd"/>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szCs w:val="21"/>
              </w:rPr>
              <w:t>免费保修期外，中标单位有义务向采购单位对维修家具等情况提出合理建议供采购单位考虑。内容包括但不限于零配件的优惠率不能高于采购单价、维修响应及故障解决时间、方案、提供的服务等投标方拟定。</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关于保修期后维修响应及故障解决时间</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szCs w:val="21"/>
              </w:rPr>
              <w:t>保修期后故障响应时间：由生产厂家提供售后服务，24小时内服务到位。</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8820" w:type="dxa"/>
            <w:gridSpan w:val="6"/>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b/>
                <w:szCs w:val="21"/>
              </w:rPr>
            </w:pPr>
            <w:r>
              <w:rPr>
                <w:rStyle w:val="NormalCharacter"/>
                <w:rFonts w:ascii="宋体" w:hAnsi="宋体"/>
                <w:b/>
                <w:szCs w:val="21"/>
              </w:rPr>
              <w:t>（三）其他商务要求</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75"/>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1</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r>
              <w:rPr>
                <w:rStyle w:val="NormalCharacter"/>
                <w:rFonts w:ascii="宋体" w:hAnsi="宋体"/>
                <w:szCs w:val="21"/>
              </w:rPr>
              <w:t>关于交货</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1.1交货地点：招标人指定地点</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76"/>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b/>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1.2中标人必须承担的设备运输、安装调试、验收检测和提供设备操作说明书、图纸等其他类似的义务。</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76"/>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b/>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★1.3签订合同后3</w:t>
            </w:r>
            <w:r>
              <w:rPr>
                <w:rStyle w:val="NormalCharacter"/>
                <w:rFonts w:ascii="宋体" w:hAnsi="宋体" w:cs="宋体"/>
                <w:bCs/>
                <w:szCs w:val="21"/>
                <w:u w:val="single" w:color="000000"/>
              </w:rPr>
              <w:t xml:space="preserve">0 </w:t>
            </w:r>
            <w:r>
              <w:rPr>
                <w:rStyle w:val="NormalCharacter"/>
                <w:rFonts w:ascii="宋体" w:hAnsi="宋体" w:cs="宋体"/>
                <w:bCs/>
                <w:szCs w:val="21"/>
              </w:rPr>
              <w:t>天（日历日）内交货。</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b/>
                <w:szCs w:val="21"/>
              </w:rPr>
              <w:t>2</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r>
              <w:rPr>
                <w:rStyle w:val="NormalCharacter"/>
                <w:rFonts w:ascii="宋体" w:hAnsi="宋体"/>
                <w:szCs w:val="21"/>
              </w:rPr>
              <w:t>关于验收</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2.1中标人货物经过双方检验认可后，签署验收报告，产品保修期自验收合格之日起算，由投标人提供产品保修文件。</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b/>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2.2当满足以下条件时，采购人才向中标人签发货物验收报告：</w:t>
            </w:r>
          </w:p>
          <w:p w:rsidR="00C96E91" w:rsidRDefault="00C96E91" w:rsidP="00BE39C7">
            <w:pPr>
              <w:tabs>
                <w:tab w:val="left" w:pos="1260"/>
              </w:tabs>
              <w:spacing w:line="400" w:lineRule="exact"/>
              <w:rPr>
                <w:rStyle w:val="NormalCharacter"/>
                <w:rFonts w:ascii="宋体" w:hAnsi="宋体" w:cs="宋体"/>
                <w:bCs/>
                <w:szCs w:val="21"/>
              </w:rPr>
            </w:pPr>
            <w:r>
              <w:rPr>
                <w:rStyle w:val="NormalCharacter"/>
                <w:rFonts w:ascii="宋体" w:hAnsi="宋体" w:cs="宋体"/>
                <w:bCs/>
                <w:szCs w:val="21"/>
              </w:rPr>
              <w:t>a、中标人已按照合同规定提供了全部产品及完整的技术资料。</w:t>
            </w:r>
          </w:p>
          <w:p w:rsidR="00C96E91" w:rsidRDefault="00C96E91" w:rsidP="00BE39C7">
            <w:pPr>
              <w:tabs>
                <w:tab w:val="left" w:pos="1260"/>
              </w:tabs>
              <w:spacing w:line="400" w:lineRule="exact"/>
              <w:rPr>
                <w:rStyle w:val="NormalCharacter"/>
                <w:rFonts w:ascii="宋体" w:hAnsi="宋体" w:cs="宋体"/>
                <w:bCs/>
                <w:szCs w:val="21"/>
              </w:rPr>
            </w:pPr>
            <w:r>
              <w:rPr>
                <w:rStyle w:val="NormalCharacter"/>
                <w:rFonts w:ascii="宋体" w:hAnsi="宋体" w:cs="宋体"/>
                <w:bCs/>
                <w:szCs w:val="21"/>
              </w:rPr>
              <w:t>b、货物符合招标文件技术规格书的要求，性能满足要求。</w:t>
            </w:r>
          </w:p>
          <w:p w:rsidR="00C96E91" w:rsidRDefault="00C96E91" w:rsidP="00BE39C7">
            <w:pPr>
              <w:tabs>
                <w:tab w:val="left" w:pos="1260"/>
              </w:tabs>
              <w:spacing w:line="400" w:lineRule="exact"/>
              <w:rPr>
                <w:rStyle w:val="NormalCharacter"/>
                <w:rFonts w:ascii="宋体" w:hAnsi="宋体" w:cs="宋体"/>
                <w:bCs/>
                <w:szCs w:val="21"/>
              </w:rPr>
            </w:pPr>
            <w:r>
              <w:rPr>
                <w:rStyle w:val="NormalCharacter"/>
                <w:rFonts w:ascii="宋体" w:hAnsi="宋体" w:cs="宋体"/>
                <w:bCs/>
                <w:szCs w:val="21"/>
              </w:rPr>
              <w:t>c、货物具备产品合格证。</w:t>
            </w:r>
          </w:p>
          <w:p w:rsidR="00C96E91" w:rsidRDefault="00C96E91" w:rsidP="00BE39C7">
            <w:pPr>
              <w:spacing w:line="400" w:lineRule="exact"/>
              <w:rPr>
                <w:rStyle w:val="NormalCharacter"/>
                <w:rFonts w:ascii="宋体" w:hAnsi="宋体"/>
                <w:szCs w:val="21"/>
              </w:rPr>
            </w:pPr>
            <w:r>
              <w:rPr>
                <w:rStyle w:val="NormalCharacter"/>
                <w:rFonts w:ascii="宋体" w:hAnsi="宋体" w:cs="宋体"/>
                <w:bCs/>
                <w:szCs w:val="21"/>
              </w:rPr>
              <w:t>d、</w:t>
            </w:r>
            <w:r>
              <w:rPr>
                <w:rStyle w:val="NormalCharacter"/>
                <w:rFonts w:ascii="宋体" w:hAnsi="宋体"/>
                <w:szCs w:val="21"/>
              </w:rPr>
              <w:t>运输及包装方式的要求。中标人负责产品正式验收合格前的一切费用（包括运输、包装、仓储、安装、保险等费用）。包装方式按照原厂出厂原标准，中标人承担由于其包装或其防护措施不妥而引起货物锈蚀、损坏和丢失等任何损失，并承担因此而发生的违约责任。</w:t>
            </w:r>
          </w:p>
          <w:p w:rsidR="00C96E91" w:rsidRDefault="00C96E91" w:rsidP="00BE39C7">
            <w:pPr>
              <w:tabs>
                <w:tab w:val="left" w:pos="1260"/>
              </w:tabs>
              <w:spacing w:line="400" w:lineRule="exact"/>
              <w:rPr>
                <w:rStyle w:val="NormalCharacter"/>
                <w:rFonts w:ascii="宋体" w:hAnsi="宋体" w:cs="宋体"/>
                <w:bCs/>
                <w:szCs w:val="21"/>
              </w:rPr>
            </w:pPr>
            <w:r>
              <w:rPr>
                <w:rStyle w:val="NormalCharacter"/>
                <w:rFonts w:ascii="宋体" w:hAnsi="宋体"/>
                <w:szCs w:val="21"/>
              </w:rPr>
              <w:t>e、质量及知识产权要求。中标人提供完好、全新的原包装产品（包括零配件），随机技术资料齐全。产品符合国家质量检测标准，必须具有生产日期、厂名、厂址、产品合格证等。采购人在中国使用该货物或货物的任何一部分时，免受第三方提出的侵犯其专利权、商标权或工业设计权等知识产权的起诉或司法干预。如果发生上述起诉或干预，则其法律责任均由中标人负责。</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r>
              <w:rPr>
                <w:rStyle w:val="NormalCharacter"/>
                <w:rFonts w:ascii="宋体" w:hAnsi="宋体"/>
                <w:b/>
                <w:szCs w:val="21"/>
              </w:rPr>
              <w:t>3</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b/>
                <w:szCs w:val="21"/>
              </w:rPr>
            </w:pPr>
            <w:r>
              <w:rPr>
                <w:rStyle w:val="NormalCharacter"/>
                <w:rFonts w:ascii="宋体" w:hAnsi="宋体"/>
                <w:szCs w:val="21"/>
              </w:rPr>
              <w:t>关于违约</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3.1中标人不能交货的，需偿付不能交货部分货款的</w:t>
            </w:r>
            <w:r>
              <w:rPr>
                <w:rStyle w:val="NormalCharacter"/>
                <w:rFonts w:ascii="宋体" w:hAnsi="宋体" w:cs="宋体"/>
                <w:bCs/>
                <w:szCs w:val="21"/>
                <w:u w:val="single" w:color="000000"/>
              </w:rPr>
              <w:t xml:space="preserve"> 10 </w:t>
            </w:r>
            <w:r>
              <w:rPr>
                <w:rStyle w:val="NormalCharacter"/>
                <w:rFonts w:ascii="宋体" w:hAnsi="宋体" w:cs="宋体"/>
                <w:bCs/>
                <w:szCs w:val="21"/>
              </w:rPr>
              <w:t>%的违约金并按主管部门相关规定处理。</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b/>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3.2中标人逾期交货的，将被没收履约保证金并按主管部门相关规定处理。</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left"/>
              <w:rPr>
                <w:rStyle w:val="NormalCharacter"/>
                <w:rFonts w:ascii="宋体" w:hAnsi="宋体"/>
                <w:b/>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Cs/>
                <w:szCs w:val="21"/>
              </w:rPr>
            </w:pPr>
            <w:r>
              <w:rPr>
                <w:rStyle w:val="NormalCharacter"/>
                <w:rFonts w:ascii="宋体" w:hAnsi="宋体" w:cs="宋体"/>
                <w:bCs/>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r>
              <w:rPr>
                <w:rStyle w:val="NormalCharacter"/>
                <w:rFonts w:ascii="宋体" w:hAnsi="宋体"/>
                <w:szCs w:val="21"/>
              </w:rPr>
              <w:t>4</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r>
              <w:rPr>
                <w:rStyle w:val="NormalCharacter"/>
                <w:rFonts w:ascii="宋体" w:hAnsi="宋体" w:cs="宋体"/>
                <w:b/>
                <w:bCs/>
                <w:szCs w:val="21"/>
              </w:rPr>
              <w:t>★</w:t>
            </w:r>
            <w:r>
              <w:rPr>
                <w:rStyle w:val="NormalCharacter"/>
                <w:rFonts w:ascii="宋体" w:hAnsi="宋体"/>
                <w:szCs w:val="21"/>
              </w:rPr>
              <w:t>关于付款</w:t>
            </w: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
                <w:bCs/>
                <w:szCs w:val="21"/>
              </w:rPr>
            </w:pPr>
            <w:r>
              <w:rPr>
                <w:rStyle w:val="NormalCharacter"/>
                <w:rFonts w:ascii="宋体" w:hAnsi="宋体" w:cs="宋体"/>
                <w:b/>
                <w:bCs/>
                <w:szCs w:val="21"/>
              </w:rPr>
              <w:t>合同生效并收到相应发票后支付合同总额的30%作为进度款；设备到达指定安装现场并安装、调试验收合格并提供全额发票后支付合同总额的65%；尾款5%待免费保修期满且无质量问题并经</w:t>
            </w:r>
            <w:r>
              <w:rPr>
                <w:rStyle w:val="NormalCharacter"/>
                <w:rFonts w:ascii="宋体" w:hAnsi="宋体" w:cs="宋体" w:hint="eastAsia"/>
                <w:b/>
                <w:bCs/>
                <w:szCs w:val="21"/>
              </w:rPr>
              <w:t>使用方</w:t>
            </w:r>
            <w:r>
              <w:rPr>
                <w:rStyle w:val="NormalCharacter"/>
                <w:rFonts w:ascii="宋体" w:hAnsi="宋体" w:cs="宋体"/>
                <w:b/>
                <w:bCs/>
                <w:szCs w:val="21"/>
              </w:rPr>
              <w:t>确认后支付。</w:t>
            </w:r>
          </w:p>
        </w:tc>
      </w:tr>
      <w:tr w:rsidR="00C96E91" w:rsidTr="00BE3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C96E91" w:rsidRDefault="00C96E91" w:rsidP="00BE39C7">
            <w:pPr>
              <w:spacing w:line="400" w:lineRule="exact"/>
              <w:jc w:val="center"/>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C96E91" w:rsidRDefault="00C96E91" w:rsidP="00BE39C7">
            <w:pPr>
              <w:spacing w:line="400" w:lineRule="exact"/>
              <w:rPr>
                <w:rStyle w:val="NormalCharacter"/>
                <w:rFonts w:ascii="宋体" w:hAnsi="宋体" w:cs="宋体"/>
                <w:b/>
                <w:bCs/>
                <w:szCs w:val="21"/>
              </w:rPr>
            </w:pPr>
            <w:r>
              <w:rPr>
                <w:rStyle w:val="NormalCharacter"/>
                <w:b/>
                <w:bCs/>
                <w:szCs w:val="21"/>
              </w:rPr>
              <w:t>此次招标数量可能存在</w:t>
            </w:r>
            <w:r>
              <w:rPr>
                <w:rStyle w:val="NormalCharacter"/>
                <w:b/>
                <w:bCs/>
                <w:szCs w:val="21"/>
              </w:rPr>
              <w:t>10%</w:t>
            </w:r>
            <w:r>
              <w:rPr>
                <w:rStyle w:val="NormalCharacter"/>
                <w:b/>
                <w:bCs/>
                <w:szCs w:val="21"/>
              </w:rPr>
              <w:t>以内下浮的调整，最终数量以实际安装数量为准，合同价格以实际安装数量作为最后结算价（货物单价计算以投标人所投报价为准</w:t>
            </w:r>
            <w:r>
              <w:rPr>
                <w:rStyle w:val="NormalCharacter"/>
                <w:b/>
                <w:bCs/>
                <w:szCs w:val="21"/>
              </w:rPr>
              <w:t>)</w:t>
            </w:r>
            <w:r>
              <w:rPr>
                <w:rStyle w:val="NormalCharacter"/>
                <w:b/>
                <w:bCs/>
                <w:szCs w:val="21"/>
              </w:rPr>
              <w:t>。</w:t>
            </w:r>
          </w:p>
        </w:tc>
      </w:tr>
    </w:tbl>
    <w:p w:rsidR="00C96E91" w:rsidRDefault="00C96E91" w:rsidP="00C96E91">
      <w:pPr>
        <w:rPr>
          <w:rStyle w:val="NormalCharacter"/>
          <w:b/>
        </w:rPr>
      </w:pPr>
      <w:r>
        <w:rPr>
          <w:rStyle w:val="NormalCharacter"/>
          <w:b/>
        </w:rPr>
        <w:t>备注：</w:t>
      </w:r>
    </w:p>
    <w:p w:rsidR="00C96E91" w:rsidRDefault="00C96E91" w:rsidP="00C96E91">
      <w:pPr>
        <w:rPr>
          <w:rStyle w:val="NormalCharacter"/>
          <w:b/>
        </w:rPr>
      </w:pPr>
      <w:r>
        <w:rPr>
          <w:rStyle w:val="NormalCharacter"/>
          <w:b/>
        </w:rPr>
        <w:t>1. “</w:t>
      </w:r>
      <w:r>
        <w:rPr>
          <w:rStyle w:val="NormalCharacter"/>
          <w:rFonts w:ascii="宋体" w:hAnsi="宋体"/>
          <w:b/>
        </w:rPr>
        <w:t>（</w:t>
      </w:r>
      <w:r>
        <w:rPr>
          <w:rStyle w:val="NormalCharacter"/>
          <w:b/>
        </w:rPr>
        <w:t>一</w:t>
      </w:r>
      <w:r>
        <w:rPr>
          <w:rStyle w:val="NormalCharacter"/>
          <w:rFonts w:ascii="宋体" w:hAnsi="宋体"/>
          <w:b/>
        </w:rPr>
        <w:t>）</w:t>
      </w:r>
      <w:r>
        <w:rPr>
          <w:rStyle w:val="NormalCharacter"/>
          <w:b/>
        </w:rPr>
        <w:t>免费保修期内售后服务要求</w:t>
      </w:r>
      <w:r>
        <w:rPr>
          <w:rStyle w:val="NormalCharacter"/>
          <w:b/>
        </w:rPr>
        <w:t>”</w:t>
      </w:r>
      <w:r>
        <w:rPr>
          <w:rStyle w:val="NormalCharacter"/>
          <w:b/>
        </w:rPr>
        <w:t>部分，</w:t>
      </w:r>
      <w:r>
        <w:rPr>
          <w:rStyle w:val="NormalCharacter"/>
        </w:rPr>
        <w:t>请详细列明免费保修期内的售后服务要求，内容包括但不限于免费保修期限、售后服务人员配备、技术培训方案、质量保证、违约承诺、维修响应及故障解决时间、方案等。</w:t>
      </w:r>
      <w:r>
        <w:rPr>
          <w:rStyle w:val="NormalCharacter"/>
          <w:b/>
        </w:rPr>
        <w:t xml:space="preserve"> </w:t>
      </w:r>
    </w:p>
    <w:p w:rsidR="00C96E91" w:rsidRDefault="00C96E91" w:rsidP="00C96E91">
      <w:pPr>
        <w:rPr>
          <w:rStyle w:val="NormalCharacter"/>
          <w:b/>
        </w:rPr>
      </w:pPr>
      <w:r>
        <w:rPr>
          <w:rStyle w:val="NormalCharacter"/>
          <w:b/>
        </w:rPr>
        <w:lastRenderedPageBreak/>
        <w:t>2. “</w:t>
      </w:r>
      <w:r>
        <w:rPr>
          <w:rStyle w:val="NormalCharacter"/>
          <w:rFonts w:ascii="宋体" w:hAnsi="宋体"/>
          <w:b/>
        </w:rPr>
        <w:t>（</w:t>
      </w:r>
      <w:r>
        <w:rPr>
          <w:rStyle w:val="NormalCharacter"/>
          <w:b/>
        </w:rPr>
        <w:t>二</w:t>
      </w:r>
      <w:r>
        <w:rPr>
          <w:rStyle w:val="NormalCharacter"/>
          <w:rFonts w:ascii="宋体" w:hAnsi="宋体"/>
          <w:b/>
        </w:rPr>
        <w:t>）</w:t>
      </w:r>
      <w:r>
        <w:rPr>
          <w:rStyle w:val="NormalCharacter"/>
          <w:b/>
        </w:rPr>
        <w:t>免费保修期外售后服务要求</w:t>
      </w:r>
      <w:r>
        <w:rPr>
          <w:rStyle w:val="NormalCharacter"/>
          <w:b/>
        </w:rPr>
        <w:t>”</w:t>
      </w:r>
      <w:r>
        <w:rPr>
          <w:rStyle w:val="NormalCharacter"/>
          <w:b/>
        </w:rPr>
        <w:t>部分，</w:t>
      </w:r>
      <w:r>
        <w:rPr>
          <w:rStyle w:val="NormalCharacter"/>
        </w:rPr>
        <w:t>请详细列明免费保修期外的售后服务要求，内容包括但不限于零配件的优惠率、维修响应及故障解决时间、方案、提供的服务等。</w:t>
      </w:r>
    </w:p>
    <w:p w:rsidR="00C96E91" w:rsidRDefault="00C96E91" w:rsidP="00C96E91">
      <w:pPr>
        <w:rPr>
          <w:rStyle w:val="NormalCharacter"/>
        </w:rPr>
      </w:pPr>
      <w:r>
        <w:rPr>
          <w:rStyle w:val="NormalCharacter"/>
          <w:b/>
        </w:rPr>
        <w:t>3. “</w:t>
      </w:r>
      <w:r>
        <w:rPr>
          <w:rStyle w:val="NormalCharacter"/>
          <w:rFonts w:ascii="宋体" w:hAnsi="宋体"/>
          <w:b/>
        </w:rPr>
        <w:t>（</w:t>
      </w:r>
      <w:r>
        <w:rPr>
          <w:rStyle w:val="NormalCharacter"/>
          <w:b/>
        </w:rPr>
        <w:t>三</w:t>
      </w:r>
      <w:r>
        <w:rPr>
          <w:rStyle w:val="NormalCharacter"/>
          <w:rFonts w:ascii="宋体" w:hAnsi="宋体"/>
          <w:b/>
        </w:rPr>
        <w:t>）</w:t>
      </w:r>
      <w:r>
        <w:rPr>
          <w:rStyle w:val="NormalCharacter"/>
          <w:b/>
        </w:rPr>
        <w:t>其他商务要求</w:t>
      </w:r>
      <w:r>
        <w:rPr>
          <w:rStyle w:val="NormalCharacter"/>
          <w:b/>
        </w:rPr>
        <w:t>”</w:t>
      </w:r>
      <w:r>
        <w:rPr>
          <w:rStyle w:val="NormalCharacter"/>
          <w:b/>
        </w:rPr>
        <w:t>部分，</w:t>
      </w:r>
      <w:r>
        <w:rPr>
          <w:rStyle w:val="NormalCharacter"/>
        </w:rPr>
        <w:t>如有补充，请详细列明。</w:t>
      </w:r>
    </w:p>
    <w:p w:rsidR="00C96E91" w:rsidRDefault="00C96E91" w:rsidP="00C96E91">
      <w:r>
        <w:rPr>
          <w:rStyle w:val="NormalCharacter"/>
          <w:b/>
        </w:rPr>
        <w:t xml:space="preserve">4. </w:t>
      </w:r>
      <w:r>
        <w:rPr>
          <w:rStyle w:val="NormalCharacter"/>
        </w:rPr>
        <w:t>设有</w:t>
      </w:r>
      <w:r>
        <w:rPr>
          <w:rStyle w:val="NormalCharacter"/>
        </w:rPr>
        <w:t>“★”</w:t>
      </w:r>
      <w:r>
        <w:rPr>
          <w:rStyle w:val="NormalCharacter"/>
        </w:rPr>
        <w:t>号的条款是实质性要求，不允许负偏离。有负偏离的将作无效投标处理。</w:t>
      </w:r>
    </w:p>
    <w:p w:rsidR="00C96E91" w:rsidRDefault="00C96E91" w:rsidP="00C96E91">
      <w:pPr>
        <w:pStyle w:val="3"/>
        <w:jc w:val="left"/>
        <w:rPr>
          <w:rFonts w:ascii="新宋体" w:eastAsia="新宋体" w:hAnsi="新宋体"/>
          <w:kern w:val="44"/>
          <w:sz w:val="30"/>
          <w:szCs w:val="30"/>
        </w:rPr>
      </w:pPr>
      <w:r>
        <w:rPr>
          <w:rFonts w:ascii="新宋体" w:eastAsia="新宋体" w:hAnsi="新宋体" w:hint="eastAsia"/>
          <w:kern w:val="44"/>
          <w:sz w:val="30"/>
          <w:szCs w:val="30"/>
        </w:rPr>
        <w:t>七、政策导向</w:t>
      </w:r>
    </w:p>
    <w:p w:rsidR="00C96E91" w:rsidRDefault="00C96E91" w:rsidP="00C96E91">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C96E91" w:rsidRDefault="00C96E91" w:rsidP="00C96E91">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C96E91" w:rsidRDefault="00C96E91" w:rsidP="00C96E91">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C96E91" w:rsidRDefault="00C96E91" w:rsidP="00C96E91">
      <w:pPr>
        <w:spacing w:line="360" w:lineRule="auto"/>
        <w:rPr>
          <w:rFonts w:ascii="新宋体" w:eastAsia="新宋体" w:hAnsi="新宋体"/>
        </w:rPr>
      </w:pPr>
    </w:p>
    <w:p w:rsidR="009813BE" w:rsidRPr="00C96E91" w:rsidRDefault="009813BE"/>
    <w:sectPr w:rsidR="009813BE" w:rsidRPr="00C96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91" w:rsidRDefault="00C96E91" w:rsidP="00C96E91">
      <w:r>
        <w:separator/>
      </w:r>
    </w:p>
  </w:endnote>
  <w:endnote w:type="continuationSeparator" w:id="0">
    <w:p w:rsidR="00C96E91" w:rsidRDefault="00C96E91" w:rsidP="00C9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91" w:rsidRDefault="00C96E91" w:rsidP="00C96E91">
      <w:r>
        <w:separator/>
      </w:r>
    </w:p>
  </w:footnote>
  <w:footnote w:type="continuationSeparator" w:id="0">
    <w:p w:rsidR="00C96E91" w:rsidRDefault="00C96E91" w:rsidP="00C96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9E"/>
    <w:rsid w:val="00143194"/>
    <w:rsid w:val="009813BE"/>
    <w:rsid w:val="00C96E91"/>
    <w:rsid w:val="00EC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91"/>
    <w:pPr>
      <w:widowControl w:val="0"/>
      <w:jc w:val="both"/>
    </w:pPr>
    <w:rPr>
      <w:rFonts w:ascii="Times New Roman" w:eastAsia="宋体" w:hAnsi="Times New Roman" w:cs="Times New Roman"/>
      <w:szCs w:val="24"/>
    </w:rPr>
  </w:style>
  <w:style w:type="paragraph" w:styleId="2">
    <w:name w:val="heading 2"/>
    <w:basedOn w:val="3"/>
    <w:next w:val="4"/>
    <w:link w:val="2Char"/>
    <w:qFormat/>
    <w:rsid w:val="00C96E91"/>
    <w:pPr>
      <w:adjustRightInd w:val="0"/>
      <w:jc w:val="center"/>
      <w:textAlignment w:val="baseline"/>
      <w:outlineLvl w:val="1"/>
    </w:pPr>
    <w:rPr>
      <w:kern w:val="0"/>
      <w:sz w:val="24"/>
      <w:szCs w:val="20"/>
    </w:rPr>
  </w:style>
  <w:style w:type="paragraph" w:styleId="3">
    <w:name w:val="heading 3"/>
    <w:basedOn w:val="4"/>
    <w:next w:val="a"/>
    <w:link w:val="3Char1"/>
    <w:qFormat/>
    <w:rsid w:val="00C96E9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96E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E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6E91"/>
    <w:rPr>
      <w:sz w:val="18"/>
      <w:szCs w:val="18"/>
    </w:rPr>
  </w:style>
  <w:style w:type="paragraph" w:styleId="a4">
    <w:name w:val="footer"/>
    <w:basedOn w:val="a"/>
    <w:link w:val="Char0"/>
    <w:uiPriority w:val="99"/>
    <w:unhideWhenUsed/>
    <w:rsid w:val="00C96E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6E91"/>
    <w:rPr>
      <w:sz w:val="18"/>
      <w:szCs w:val="18"/>
    </w:rPr>
  </w:style>
  <w:style w:type="character" w:customStyle="1" w:styleId="2Char">
    <w:name w:val="标题 2 Char"/>
    <w:basedOn w:val="a0"/>
    <w:link w:val="2"/>
    <w:qFormat/>
    <w:rsid w:val="00C96E91"/>
    <w:rPr>
      <w:rFonts w:ascii="宋体" w:eastAsia="宋体" w:hAnsi="宋体" w:cs="Times New Roman"/>
      <w:b/>
      <w:bCs/>
      <w:kern w:val="0"/>
      <w:sz w:val="24"/>
      <w:szCs w:val="20"/>
    </w:rPr>
  </w:style>
  <w:style w:type="character" w:customStyle="1" w:styleId="3Char">
    <w:name w:val="标题 3 Char"/>
    <w:basedOn w:val="a0"/>
    <w:uiPriority w:val="9"/>
    <w:semiHidden/>
    <w:rsid w:val="00C96E91"/>
    <w:rPr>
      <w:rFonts w:ascii="Times New Roman" w:eastAsia="宋体" w:hAnsi="Times New Roman" w:cs="Times New Roman"/>
      <w:b/>
      <w:bCs/>
      <w:sz w:val="32"/>
      <w:szCs w:val="32"/>
    </w:rPr>
  </w:style>
  <w:style w:type="character" w:customStyle="1" w:styleId="3Char1">
    <w:name w:val="标题 3 Char1"/>
    <w:link w:val="3"/>
    <w:qFormat/>
    <w:rsid w:val="00C96E91"/>
    <w:rPr>
      <w:rFonts w:ascii="宋体" w:eastAsia="宋体" w:hAnsi="宋体" w:cs="Times New Roman"/>
      <w:b/>
      <w:bCs/>
      <w:sz w:val="28"/>
      <w:szCs w:val="32"/>
    </w:rPr>
  </w:style>
  <w:style w:type="character" w:customStyle="1" w:styleId="NormalCharacter">
    <w:name w:val="NormalCharacter"/>
    <w:rsid w:val="00C96E91"/>
  </w:style>
  <w:style w:type="character" w:customStyle="1" w:styleId="AnnotationReference">
    <w:name w:val="AnnotationReference"/>
    <w:rsid w:val="00C96E91"/>
    <w:rPr>
      <w:sz w:val="16"/>
      <w:szCs w:val="16"/>
    </w:rPr>
  </w:style>
  <w:style w:type="character" w:customStyle="1" w:styleId="UserStyle14">
    <w:name w:val="UserStyle_14"/>
    <w:basedOn w:val="NormalCharacter"/>
    <w:rsid w:val="00C96E91"/>
    <w:rPr>
      <w:rFonts w:ascii="宋体" w:eastAsia="宋体" w:hAnsi="宋体"/>
      <w:color w:val="000000"/>
      <w:sz w:val="21"/>
      <w:szCs w:val="21"/>
    </w:rPr>
  </w:style>
  <w:style w:type="character" w:customStyle="1" w:styleId="UserStyle15">
    <w:name w:val="UserStyle_15"/>
    <w:basedOn w:val="NormalCharacter"/>
    <w:rsid w:val="00C96E91"/>
    <w:rPr>
      <w:rFonts w:ascii="宋体" w:eastAsia="宋体" w:hAnsi="宋体"/>
      <w:color w:val="000000"/>
      <w:sz w:val="22"/>
      <w:szCs w:val="22"/>
    </w:rPr>
  </w:style>
  <w:style w:type="character" w:customStyle="1" w:styleId="UserStyle16">
    <w:name w:val="UserStyle_16"/>
    <w:basedOn w:val="NormalCharacter"/>
    <w:rsid w:val="00C96E91"/>
    <w:rPr>
      <w:rFonts w:ascii="Times New Roman" w:hAnsi="Times New Roman"/>
      <w:color w:val="000000"/>
      <w:sz w:val="21"/>
      <w:szCs w:val="21"/>
    </w:rPr>
  </w:style>
  <w:style w:type="character" w:customStyle="1" w:styleId="4Char">
    <w:name w:val="标题 4 Char"/>
    <w:basedOn w:val="a0"/>
    <w:link w:val="4"/>
    <w:uiPriority w:val="9"/>
    <w:semiHidden/>
    <w:rsid w:val="00C96E9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91"/>
    <w:pPr>
      <w:widowControl w:val="0"/>
      <w:jc w:val="both"/>
    </w:pPr>
    <w:rPr>
      <w:rFonts w:ascii="Times New Roman" w:eastAsia="宋体" w:hAnsi="Times New Roman" w:cs="Times New Roman"/>
      <w:szCs w:val="24"/>
    </w:rPr>
  </w:style>
  <w:style w:type="paragraph" w:styleId="2">
    <w:name w:val="heading 2"/>
    <w:basedOn w:val="3"/>
    <w:next w:val="4"/>
    <w:link w:val="2Char"/>
    <w:qFormat/>
    <w:rsid w:val="00C96E91"/>
    <w:pPr>
      <w:adjustRightInd w:val="0"/>
      <w:jc w:val="center"/>
      <w:textAlignment w:val="baseline"/>
      <w:outlineLvl w:val="1"/>
    </w:pPr>
    <w:rPr>
      <w:kern w:val="0"/>
      <w:sz w:val="24"/>
      <w:szCs w:val="20"/>
    </w:rPr>
  </w:style>
  <w:style w:type="paragraph" w:styleId="3">
    <w:name w:val="heading 3"/>
    <w:basedOn w:val="4"/>
    <w:next w:val="a"/>
    <w:link w:val="3Char1"/>
    <w:qFormat/>
    <w:rsid w:val="00C96E9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96E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E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6E91"/>
    <w:rPr>
      <w:sz w:val="18"/>
      <w:szCs w:val="18"/>
    </w:rPr>
  </w:style>
  <w:style w:type="paragraph" w:styleId="a4">
    <w:name w:val="footer"/>
    <w:basedOn w:val="a"/>
    <w:link w:val="Char0"/>
    <w:uiPriority w:val="99"/>
    <w:unhideWhenUsed/>
    <w:rsid w:val="00C96E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6E91"/>
    <w:rPr>
      <w:sz w:val="18"/>
      <w:szCs w:val="18"/>
    </w:rPr>
  </w:style>
  <w:style w:type="character" w:customStyle="1" w:styleId="2Char">
    <w:name w:val="标题 2 Char"/>
    <w:basedOn w:val="a0"/>
    <w:link w:val="2"/>
    <w:qFormat/>
    <w:rsid w:val="00C96E91"/>
    <w:rPr>
      <w:rFonts w:ascii="宋体" w:eastAsia="宋体" w:hAnsi="宋体" w:cs="Times New Roman"/>
      <w:b/>
      <w:bCs/>
      <w:kern w:val="0"/>
      <w:sz w:val="24"/>
      <w:szCs w:val="20"/>
    </w:rPr>
  </w:style>
  <w:style w:type="character" w:customStyle="1" w:styleId="3Char">
    <w:name w:val="标题 3 Char"/>
    <w:basedOn w:val="a0"/>
    <w:uiPriority w:val="9"/>
    <w:semiHidden/>
    <w:rsid w:val="00C96E91"/>
    <w:rPr>
      <w:rFonts w:ascii="Times New Roman" w:eastAsia="宋体" w:hAnsi="Times New Roman" w:cs="Times New Roman"/>
      <w:b/>
      <w:bCs/>
      <w:sz w:val="32"/>
      <w:szCs w:val="32"/>
    </w:rPr>
  </w:style>
  <w:style w:type="character" w:customStyle="1" w:styleId="3Char1">
    <w:name w:val="标题 3 Char1"/>
    <w:link w:val="3"/>
    <w:qFormat/>
    <w:rsid w:val="00C96E91"/>
    <w:rPr>
      <w:rFonts w:ascii="宋体" w:eastAsia="宋体" w:hAnsi="宋体" w:cs="Times New Roman"/>
      <w:b/>
      <w:bCs/>
      <w:sz w:val="28"/>
      <w:szCs w:val="32"/>
    </w:rPr>
  </w:style>
  <w:style w:type="character" w:customStyle="1" w:styleId="NormalCharacter">
    <w:name w:val="NormalCharacter"/>
    <w:rsid w:val="00C96E91"/>
  </w:style>
  <w:style w:type="character" w:customStyle="1" w:styleId="AnnotationReference">
    <w:name w:val="AnnotationReference"/>
    <w:rsid w:val="00C96E91"/>
    <w:rPr>
      <w:sz w:val="16"/>
      <w:szCs w:val="16"/>
    </w:rPr>
  </w:style>
  <w:style w:type="character" w:customStyle="1" w:styleId="UserStyle14">
    <w:name w:val="UserStyle_14"/>
    <w:basedOn w:val="NormalCharacter"/>
    <w:rsid w:val="00C96E91"/>
    <w:rPr>
      <w:rFonts w:ascii="宋体" w:eastAsia="宋体" w:hAnsi="宋体"/>
      <w:color w:val="000000"/>
      <w:sz w:val="21"/>
      <w:szCs w:val="21"/>
    </w:rPr>
  </w:style>
  <w:style w:type="character" w:customStyle="1" w:styleId="UserStyle15">
    <w:name w:val="UserStyle_15"/>
    <w:basedOn w:val="NormalCharacter"/>
    <w:rsid w:val="00C96E91"/>
    <w:rPr>
      <w:rFonts w:ascii="宋体" w:eastAsia="宋体" w:hAnsi="宋体"/>
      <w:color w:val="000000"/>
      <w:sz w:val="22"/>
      <w:szCs w:val="22"/>
    </w:rPr>
  </w:style>
  <w:style w:type="character" w:customStyle="1" w:styleId="UserStyle16">
    <w:name w:val="UserStyle_16"/>
    <w:basedOn w:val="NormalCharacter"/>
    <w:rsid w:val="00C96E91"/>
    <w:rPr>
      <w:rFonts w:ascii="Times New Roman" w:hAnsi="Times New Roman"/>
      <w:color w:val="000000"/>
      <w:sz w:val="21"/>
      <w:szCs w:val="21"/>
    </w:rPr>
  </w:style>
  <w:style w:type="character" w:customStyle="1" w:styleId="4Char">
    <w:name w:val="标题 4 Char"/>
    <w:basedOn w:val="a0"/>
    <w:link w:val="4"/>
    <w:uiPriority w:val="9"/>
    <w:semiHidden/>
    <w:rsid w:val="00C96E9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3</cp:revision>
  <dcterms:created xsi:type="dcterms:W3CDTF">2021-09-03T07:40:00Z</dcterms:created>
  <dcterms:modified xsi:type="dcterms:W3CDTF">2021-09-03T07:40:00Z</dcterms:modified>
</cp:coreProperties>
</file>