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新宋体" w:hAnsi="新宋体" w:eastAsia="新宋体"/>
          <w:kern w:val="44"/>
          <w:sz w:val="30"/>
          <w:szCs w:val="30"/>
        </w:rPr>
      </w:pPr>
      <w:r>
        <w:rPr>
          <w:rFonts w:hint="eastAsia" w:ascii="新宋体" w:hAnsi="新宋体" w:eastAsia="新宋体"/>
          <w:kern w:val="44"/>
          <w:sz w:val="30"/>
          <w:szCs w:val="30"/>
        </w:rPr>
        <w:t>第二章  招标项目需求</w:t>
      </w:r>
    </w:p>
    <w:p>
      <w:pPr>
        <w:pStyle w:val="4"/>
        <w:rPr>
          <w:rFonts w:ascii="新宋体" w:hAnsi="新宋体" w:eastAsia="新宋体"/>
          <w:kern w:val="44"/>
          <w:szCs w:val="28"/>
        </w:rPr>
      </w:pPr>
      <w:r>
        <w:rPr>
          <w:rFonts w:hint="eastAsia" w:ascii="新宋体" w:hAnsi="新宋体" w:eastAsia="新宋体"/>
          <w:kern w:val="44"/>
          <w:szCs w:val="28"/>
        </w:rPr>
        <w:t>一、对通用条款的补充内容</w:t>
      </w:r>
    </w:p>
    <w:tbl>
      <w:tblPr>
        <w:tblStyle w:val="9"/>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012"/>
        <w:gridCol w:w="6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b/>
                <w:bCs/>
              </w:rPr>
            </w:pPr>
            <w:r>
              <w:rPr>
                <w:rFonts w:hint="eastAsia" w:ascii="新宋体" w:hAnsi="新宋体" w:eastAsia="新宋体"/>
                <w:b/>
                <w:bCs/>
              </w:rPr>
              <w:t>序号</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b/>
                <w:bCs/>
              </w:rPr>
            </w:pPr>
            <w:r>
              <w:rPr>
                <w:rFonts w:hint="eastAsia" w:ascii="新宋体" w:hAnsi="新宋体" w:eastAsia="新宋体"/>
                <w:b/>
                <w:bCs/>
              </w:rPr>
              <w:t>内   容</w:t>
            </w:r>
          </w:p>
        </w:tc>
        <w:tc>
          <w:tcPr>
            <w:tcW w:w="6239"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b/>
                <w:bCs/>
              </w:rPr>
            </w:pPr>
            <w:r>
              <w:rPr>
                <w:rFonts w:hint="eastAsia" w:ascii="新宋体" w:hAnsi="新宋体" w:eastAsia="新宋体"/>
                <w:b/>
                <w:bCs/>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rPr>
            </w:pPr>
            <w:r>
              <w:rPr>
                <w:rFonts w:hint="eastAsia" w:ascii="新宋体" w:hAnsi="新宋体" w:eastAsia="新宋体"/>
              </w:rPr>
              <w:t>1</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联合体投标</w:t>
            </w:r>
          </w:p>
        </w:tc>
        <w:tc>
          <w:tcPr>
            <w:tcW w:w="6239"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snapToGrid w:val="0"/>
                <w:kern w:val="0"/>
                <w:szCs w:val="32"/>
                <w:u w:val="single"/>
                <w:lang w:val="zh-CN"/>
              </w:rPr>
            </w:pPr>
            <w:r>
              <w:rPr>
                <w:rFonts w:hint="eastAsia" w:ascii="新宋体" w:hAnsi="新宋体" w:eastAsia="新宋体"/>
                <w:snapToGrid w:val="0"/>
                <w:kern w:val="0"/>
                <w:szCs w:val="32"/>
                <w:u w:val="single"/>
                <w:lang w:val="zh-CN"/>
              </w:rPr>
              <w:t>见《招标公告》中“投标人资格要求”部分的相关内容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rPr>
            </w:pPr>
            <w:r>
              <w:rPr>
                <w:rFonts w:hint="eastAsia" w:ascii="新宋体" w:hAnsi="新宋体" w:eastAsia="新宋体"/>
              </w:rPr>
              <w:t>2</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投标有效期</w:t>
            </w:r>
          </w:p>
        </w:tc>
        <w:tc>
          <w:tcPr>
            <w:tcW w:w="6239"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u w:val="single"/>
              </w:rPr>
              <w:t>120</w:t>
            </w:r>
            <w:r>
              <w:rPr>
                <w:rFonts w:ascii="新宋体" w:hAnsi="新宋体" w:eastAsia="新宋体"/>
                <w:u w:val="single"/>
              </w:rPr>
              <w:t>日历天</w:t>
            </w:r>
            <w:r>
              <w:rPr>
                <w:rFonts w:ascii="新宋体" w:hAnsi="新宋体" w:eastAsia="新宋体"/>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rPr>
            </w:pPr>
            <w:r>
              <w:rPr>
                <w:rFonts w:hint="eastAsia" w:ascii="新宋体" w:hAnsi="新宋体" w:eastAsia="新宋体"/>
              </w:rPr>
              <w:t>3</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投标人的替代方案</w:t>
            </w:r>
          </w:p>
        </w:tc>
        <w:tc>
          <w:tcPr>
            <w:tcW w:w="6239"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rPr>
            </w:pPr>
            <w:r>
              <w:rPr>
                <w:rFonts w:hint="eastAsia" w:ascii="新宋体" w:hAnsi="新宋体" w:eastAsia="新宋体"/>
              </w:rPr>
              <w:t>4</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投标文件的投递</w:t>
            </w:r>
          </w:p>
        </w:tc>
        <w:tc>
          <w:tcPr>
            <w:tcW w:w="6239"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snapToGrid w:val="0"/>
                <w:color w:val="auto"/>
                <w:szCs w:val="21"/>
                <w:lang w:val="zh-CN"/>
              </w:rPr>
              <w:t>本项目实行</w:t>
            </w:r>
            <w:bookmarkStart w:id="0" w:name="投递标书方式"/>
            <w:r>
              <w:rPr>
                <w:rFonts w:hint="eastAsia" w:ascii="新宋体" w:hAnsi="新宋体" w:eastAsia="新宋体"/>
                <w:snapToGrid w:val="0"/>
                <w:color w:val="auto"/>
                <w:szCs w:val="21"/>
                <w:u w:val="single"/>
                <w:lang w:val="zh-CN"/>
              </w:rPr>
              <w:t>网下投标</w:t>
            </w:r>
            <w:bookmarkEnd w:id="0"/>
            <w:r>
              <w:rPr>
                <w:rFonts w:hint="eastAsia" w:ascii="新宋体" w:hAnsi="新宋体" w:eastAsia="新宋体"/>
                <w:snapToGrid w:val="0"/>
                <w:color w:val="auto"/>
                <w:szCs w:val="21"/>
                <w:lang w:val="zh-CN"/>
              </w:rPr>
              <w:t>，按照招标文件的要求提交纸质文件正本1份，副本4份，电子文件1份（WORD和PDF格式电子文档各1份）电子文档要求U盘，PDF格式有签字盖章，不留密码，无病毒，不压缩，密封提交，</w:t>
            </w:r>
            <w:r>
              <w:rPr>
                <w:rFonts w:hint="eastAsia" w:ascii="新宋体" w:hAnsi="新宋体" w:eastAsia="新宋体"/>
                <w:snapToGrid w:val="0"/>
                <w:szCs w:val="21"/>
                <w:lang w:val="zh-CN"/>
              </w:rPr>
              <w:t>所有</w:t>
            </w:r>
            <w:r>
              <w:rPr>
                <w:rFonts w:hint="eastAsia" w:ascii="新宋体" w:hAnsi="新宋体" w:eastAsia="新宋体" w:cs="宋体"/>
                <w:snapToGrid w:val="0"/>
                <w:szCs w:val="21"/>
                <w:lang w:val="zh-CN"/>
              </w:rPr>
              <w:t>应答文件</w:t>
            </w:r>
            <w:r>
              <w:rPr>
                <w:rFonts w:ascii="新宋体" w:hAnsi="新宋体" w:eastAsia="新宋体"/>
                <w:snapToGrid w:val="0"/>
                <w:szCs w:val="21"/>
                <w:lang w:val="zh-CN"/>
              </w:rPr>
              <w:t>应于</w:t>
            </w:r>
            <w:r>
              <w:rPr>
                <w:rFonts w:hint="eastAsia" w:ascii="新宋体" w:hAnsi="新宋体" w:eastAsia="新宋体"/>
                <w:snapToGrid w:val="0"/>
                <w:szCs w:val="21"/>
                <w:lang w:val="zh-CN"/>
              </w:rPr>
              <w:t>递交截止时间</w:t>
            </w:r>
            <w:r>
              <w:rPr>
                <w:rFonts w:ascii="新宋体" w:hAnsi="新宋体" w:eastAsia="新宋体"/>
                <w:snapToGrid w:val="0"/>
                <w:szCs w:val="21"/>
                <w:lang w:val="zh-CN"/>
              </w:rPr>
              <w:t>之前</w:t>
            </w:r>
            <w:r>
              <w:rPr>
                <w:rFonts w:hint="eastAsia" w:ascii="新宋体" w:hAnsi="新宋体" w:eastAsia="新宋体"/>
                <w:snapToGrid w:val="0"/>
                <w:szCs w:val="21"/>
                <w:lang w:val="zh-CN"/>
              </w:rPr>
              <w:t>送达招标文件规定的地址</w:t>
            </w:r>
            <w:r>
              <w:rPr>
                <w:rFonts w:ascii="新宋体" w:hAnsi="新宋体" w:eastAsia="新宋体"/>
                <w:snapToGrid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rPr>
            </w:pPr>
            <w:r>
              <w:rPr>
                <w:rFonts w:hint="eastAsia" w:ascii="新宋体" w:hAnsi="新宋体" w:eastAsia="新宋体"/>
              </w:rPr>
              <w:t>5</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履约保证金</w:t>
            </w:r>
          </w:p>
        </w:tc>
        <w:tc>
          <w:tcPr>
            <w:tcW w:w="6239"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_____万元或合同金额的_____%，缴纳方式：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新宋体" w:hAnsi="新宋体" w:eastAsia="新宋体"/>
              </w:rPr>
            </w:pPr>
            <w:r>
              <w:rPr>
                <w:rFonts w:hint="eastAsia" w:ascii="新宋体" w:hAnsi="新宋体" w:eastAsia="新宋体"/>
              </w:rPr>
              <w:t>6</w:t>
            </w:r>
          </w:p>
        </w:tc>
        <w:tc>
          <w:tcPr>
            <w:tcW w:w="2012"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rPr>
              <w:t>中标</w:t>
            </w:r>
            <w:r>
              <w:rPr>
                <w:rFonts w:ascii="新宋体" w:hAnsi="新宋体" w:eastAsia="新宋体"/>
              </w:rPr>
              <w:t>服务费</w:t>
            </w:r>
          </w:p>
        </w:tc>
        <w:tc>
          <w:tcPr>
            <w:tcW w:w="6239" w:type="dxa"/>
            <w:vAlign w:val="center"/>
          </w:tcPr>
          <w:p>
            <w:pPr>
              <w:keepNext w:val="0"/>
              <w:keepLines w:val="0"/>
              <w:pageBreakBefore w:val="0"/>
              <w:widowControl w:val="0"/>
              <w:kinsoku/>
              <w:wordWrap/>
              <w:overflowPunct/>
              <w:topLinePunct w:val="0"/>
              <w:autoSpaceDE/>
              <w:autoSpaceDN/>
              <w:bidi w:val="0"/>
              <w:adjustRightInd/>
              <w:snapToGrid/>
              <w:spacing w:line="276" w:lineRule="auto"/>
              <w:textAlignment w:val="auto"/>
              <w:outlineLvl w:val="9"/>
              <w:rPr>
                <w:rFonts w:ascii="新宋体" w:hAnsi="新宋体" w:eastAsia="新宋体"/>
              </w:rPr>
            </w:pPr>
            <w:r>
              <w:rPr>
                <w:rFonts w:hint="eastAsia" w:ascii="新宋体" w:hAnsi="新宋体" w:eastAsia="新宋体"/>
                <w:szCs w:val="21"/>
              </w:rPr>
              <w:t>根据“深圳市财政委员会关于规范深圳市社会采购代理机构管理有关事项的补充通知</w:t>
            </w:r>
            <w:r>
              <w:rPr>
                <w:rFonts w:hint="eastAsia" w:ascii="新宋体" w:hAnsi="新宋体" w:eastAsia="新宋体"/>
                <w:szCs w:val="21"/>
                <w:lang w:eastAsia="zh-CN"/>
              </w:rPr>
              <w:t>（</w:t>
            </w:r>
            <w:r>
              <w:rPr>
                <w:rFonts w:hint="eastAsia" w:ascii="新宋体" w:hAnsi="新宋体" w:eastAsia="新宋体"/>
                <w:szCs w:val="21"/>
              </w:rPr>
              <w:t>深财购[2018]27号</w:t>
            </w:r>
            <w:r>
              <w:rPr>
                <w:rFonts w:hint="eastAsia" w:ascii="新宋体" w:hAnsi="新宋体" w:eastAsia="新宋体"/>
                <w:szCs w:val="21"/>
                <w:lang w:eastAsia="zh-CN"/>
              </w:rPr>
              <w:t>）</w:t>
            </w:r>
            <w:r>
              <w:rPr>
                <w:rFonts w:hint="eastAsia" w:ascii="新宋体" w:hAnsi="新宋体" w:eastAsia="新宋体"/>
                <w:szCs w:val="21"/>
              </w:rPr>
              <w:t>”的规定执行。招标代理服务收费以中标/成交通知书公布的中标金额为计算基准</w:t>
            </w:r>
            <w:r>
              <w:rPr>
                <w:rFonts w:hint="eastAsia" w:ascii="新宋体" w:hAnsi="新宋体" w:eastAsia="新宋体"/>
                <w:szCs w:val="21"/>
                <w:lang w:eastAsia="zh-CN"/>
              </w:rPr>
              <w:t>，</w:t>
            </w:r>
            <w:r>
              <w:rPr>
                <w:rFonts w:hint="eastAsia" w:ascii="新宋体" w:hAnsi="新宋体" w:eastAsia="新宋体"/>
                <w:szCs w:val="21"/>
              </w:rPr>
              <w:t>按差额定率累进法计算</w:t>
            </w:r>
            <w:r>
              <w:rPr>
                <w:rFonts w:hint="eastAsia" w:ascii="新宋体" w:hAnsi="新宋体" w:eastAsia="新宋体"/>
                <w:szCs w:val="21"/>
                <w:lang w:eastAsia="zh-CN"/>
              </w:rPr>
              <w:t>，</w:t>
            </w:r>
            <w:r>
              <w:rPr>
                <w:rFonts w:hint="eastAsia" w:ascii="新宋体" w:hAnsi="新宋体" w:eastAsia="新宋体"/>
                <w:szCs w:val="21"/>
              </w:rPr>
              <w:t>作为招标代理服务费。低于人民币陆仟元的，按陆仟元计取。</w:t>
            </w:r>
          </w:p>
        </w:tc>
      </w:tr>
    </w:tbl>
    <w:p>
      <w:pPr>
        <w:spacing w:line="360" w:lineRule="auto"/>
        <w:rPr>
          <w:rFonts w:ascii="新宋体" w:hAnsi="新宋体" w:eastAsia="新宋体"/>
          <w:b/>
        </w:rPr>
      </w:pPr>
      <w:r>
        <w:rPr>
          <w:rFonts w:hint="eastAsia" w:ascii="新宋体" w:hAnsi="新宋体" w:eastAsia="新宋体"/>
          <w:szCs w:val="21"/>
        </w:rPr>
        <w:t>备注：本表为通用条款相关内容的补充和明确，如与通用条款相冲突的以本表为准。</w:t>
      </w:r>
    </w:p>
    <w:p>
      <w:pPr>
        <w:rPr>
          <w:rFonts w:ascii="新宋体" w:hAnsi="新宋体" w:eastAsia="新宋体"/>
          <w:b/>
        </w:rPr>
      </w:pPr>
    </w:p>
    <w:p>
      <w:pPr>
        <w:pStyle w:val="4"/>
        <w:rPr>
          <w:rFonts w:ascii="新宋体" w:hAnsi="新宋体" w:eastAsia="新宋体"/>
          <w:kern w:val="44"/>
          <w:szCs w:val="28"/>
        </w:rPr>
      </w:pPr>
      <w:bookmarkStart w:id="1" w:name="_Toc128884461"/>
      <w:r>
        <w:rPr>
          <w:rFonts w:hint="eastAsia" w:ascii="新宋体" w:hAnsi="新宋体" w:eastAsia="新宋体"/>
          <w:kern w:val="44"/>
          <w:szCs w:val="28"/>
        </w:rPr>
        <w:t>二、实质性条款</w:t>
      </w:r>
    </w:p>
    <w:tbl>
      <w:tblPr>
        <w:tblStyle w:val="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序号</w:t>
            </w:r>
          </w:p>
        </w:tc>
        <w:tc>
          <w:tcPr>
            <w:tcW w:w="7938" w:type="dxa"/>
          </w:tcPr>
          <w:p>
            <w:pPr>
              <w:spacing w:line="276" w:lineRule="auto"/>
              <w:rPr>
                <w:rFonts w:ascii="新宋体" w:hAnsi="新宋体" w:eastAsia="新宋体"/>
              </w:rPr>
            </w:pPr>
            <w:r>
              <w:rPr>
                <w:rFonts w:hint="eastAsia" w:ascii="新宋体" w:hAnsi="新宋体" w:eastAsia="新宋体"/>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1</w:t>
            </w:r>
          </w:p>
        </w:tc>
        <w:tc>
          <w:tcPr>
            <w:tcW w:w="7938" w:type="dxa"/>
          </w:tcPr>
          <w:p>
            <w:pPr>
              <w:spacing w:line="276" w:lineRule="auto"/>
              <w:rPr>
                <w:rFonts w:ascii="新宋体" w:hAnsi="新宋体" w:eastAsia="新宋体"/>
              </w:rPr>
            </w:pPr>
            <w:r>
              <w:rPr>
                <w:rFonts w:hint="eastAsia" w:ascii="新宋体" w:hAnsi="新宋体" w:eastAsia="新宋体"/>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2</w:t>
            </w:r>
          </w:p>
        </w:tc>
        <w:tc>
          <w:tcPr>
            <w:tcW w:w="7938" w:type="dxa"/>
          </w:tcPr>
          <w:p>
            <w:pPr>
              <w:spacing w:line="276" w:lineRule="auto"/>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w:t>
            </w:r>
          </w:p>
        </w:tc>
        <w:tc>
          <w:tcPr>
            <w:tcW w:w="7938" w:type="dxa"/>
          </w:tcPr>
          <w:p>
            <w:pPr>
              <w:spacing w:line="276" w:lineRule="auto"/>
              <w:rPr>
                <w:rFonts w:ascii="新宋体" w:hAnsi="新宋体" w:eastAsia="新宋体"/>
              </w:rPr>
            </w:pPr>
          </w:p>
        </w:tc>
      </w:tr>
    </w:tbl>
    <w:p>
      <w:pPr>
        <w:widowControl/>
        <w:spacing w:after="100" w:afterAutospacing="1" w:line="276" w:lineRule="auto"/>
        <w:jc w:val="left"/>
        <w:rPr>
          <w:rFonts w:hint="eastAsia" w:ascii="新宋体" w:hAnsi="新宋体" w:eastAsia="新宋体"/>
          <w:kern w:val="0"/>
          <w:szCs w:val="21"/>
        </w:rPr>
      </w:pPr>
      <w:r>
        <w:rPr>
          <w:rFonts w:hint="eastAsia" w:ascii="新宋体" w:hAnsi="新宋体" w:eastAsia="新宋体"/>
          <w:kern w:val="0"/>
          <w:szCs w:val="21"/>
        </w:rPr>
        <w:t>注：上表所列内容为不可负偏离条款</w:t>
      </w:r>
    </w:p>
    <w:p>
      <w:pPr>
        <w:widowControl/>
        <w:spacing w:after="100" w:afterAutospacing="1" w:line="276" w:lineRule="auto"/>
        <w:jc w:val="left"/>
        <w:rPr>
          <w:rFonts w:hint="eastAsia" w:ascii="新宋体" w:hAnsi="新宋体" w:eastAsia="新宋体"/>
          <w:kern w:val="0"/>
          <w:szCs w:val="21"/>
        </w:rPr>
      </w:pPr>
    </w:p>
    <w:bookmarkEnd w:id="1"/>
    <w:p>
      <w:pPr>
        <w:pStyle w:val="4"/>
        <w:rPr>
          <w:rFonts w:ascii="新宋体" w:hAnsi="新宋体" w:eastAsia="新宋体"/>
          <w:kern w:val="44"/>
          <w:szCs w:val="28"/>
        </w:rPr>
      </w:pPr>
      <w:r>
        <w:rPr>
          <w:rFonts w:hint="eastAsia" w:ascii="新宋体" w:hAnsi="新宋体" w:eastAsia="新宋体"/>
          <w:kern w:val="44"/>
          <w:szCs w:val="28"/>
        </w:rPr>
        <w:t>三、项目概况</w:t>
      </w:r>
    </w:p>
    <w:p>
      <w:pPr>
        <w:spacing w:line="360" w:lineRule="auto"/>
        <w:rPr>
          <w:rFonts w:ascii="新宋体" w:hAnsi="新宋体" w:eastAsia="新宋体" w:cs="宋体"/>
          <w:szCs w:val="21"/>
        </w:rPr>
      </w:pPr>
      <w:r>
        <w:rPr>
          <w:rFonts w:hint="eastAsia" w:ascii="新宋体" w:hAnsi="新宋体" w:eastAsia="新宋体" w:cs="宋体"/>
          <w:szCs w:val="21"/>
        </w:rPr>
        <w:t>（一）</w:t>
      </w:r>
      <w:r>
        <w:rPr>
          <w:rFonts w:ascii="新宋体" w:hAnsi="新宋体" w:eastAsia="新宋体" w:cs="宋体"/>
          <w:szCs w:val="21"/>
        </w:rPr>
        <w:t>预算</w:t>
      </w:r>
      <w:r>
        <w:rPr>
          <w:rFonts w:hint="eastAsia" w:ascii="新宋体" w:hAnsi="新宋体" w:eastAsia="新宋体" w:cs="宋体"/>
          <w:szCs w:val="21"/>
        </w:rPr>
        <w:t>金额</w:t>
      </w:r>
      <w:r>
        <w:rPr>
          <w:rFonts w:hint="eastAsia" w:ascii="新宋体" w:hAnsi="新宋体" w:eastAsia="新宋体" w:cs="宋体"/>
          <w:szCs w:val="21"/>
          <w:lang w:eastAsia="zh-CN"/>
        </w:rPr>
        <w:t>：</w:t>
      </w:r>
      <w:r>
        <w:rPr>
          <w:rFonts w:hint="eastAsia" w:ascii="新宋体" w:hAnsi="新宋体" w:eastAsia="新宋体" w:cs="宋体"/>
          <w:szCs w:val="21"/>
        </w:rPr>
        <w:t xml:space="preserve"> 人民币伍拾万元（¥500,000.00），</w:t>
      </w:r>
      <w:r>
        <w:rPr>
          <w:rFonts w:ascii="新宋体" w:hAnsi="新宋体" w:eastAsia="新宋体" w:cs="宋体"/>
          <w:szCs w:val="21"/>
        </w:rPr>
        <w:t>最高投标限价</w:t>
      </w:r>
      <w:r>
        <w:rPr>
          <w:rFonts w:hint="eastAsia" w:ascii="新宋体" w:hAnsi="新宋体" w:eastAsia="新宋体" w:cs="宋体"/>
          <w:szCs w:val="21"/>
          <w:lang w:eastAsia="zh-CN"/>
        </w:rPr>
        <w:t>：</w:t>
      </w:r>
      <w:r>
        <w:rPr>
          <w:rFonts w:hint="eastAsia" w:ascii="新宋体" w:hAnsi="新宋体" w:eastAsia="新宋体" w:cs="宋体"/>
          <w:szCs w:val="21"/>
        </w:rPr>
        <w:t>人民币伍拾万元（¥500,000.00）</w:t>
      </w:r>
    </w:p>
    <w:p>
      <w:pPr>
        <w:spacing w:line="360" w:lineRule="auto"/>
        <w:rPr>
          <w:rFonts w:ascii="新宋体" w:hAnsi="新宋体" w:eastAsia="新宋体" w:cs="宋体"/>
          <w:szCs w:val="21"/>
        </w:rPr>
      </w:pPr>
    </w:p>
    <w:p>
      <w:pPr>
        <w:spacing w:line="360" w:lineRule="auto"/>
        <w:rPr>
          <w:rFonts w:hint="eastAsia" w:ascii="新宋体" w:hAnsi="新宋体" w:eastAsia="新宋体" w:cs="宋体"/>
          <w:szCs w:val="21"/>
          <w:highlight w:val="none"/>
        </w:rPr>
      </w:pPr>
      <w:r>
        <w:rPr>
          <w:rFonts w:hint="eastAsia" w:ascii="新宋体" w:hAnsi="新宋体" w:eastAsia="新宋体" w:cs="宋体"/>
          <w:szCs w:val="21"/>
        </w:rPr>
        <w:t>（二）项目概况</w:t>
      </w:r>
      <w:r>
        <w:rPr>
          <w:rFonts w:hint="eastAsia" w:ascii="新宋体" w:hAnsi="新宋体" w:eastAsia="新宋体" w:cs="宋体"/>
          <w:szCs w:val="21"/>
          <w:lang w:eastAsia="zh-CN"/>
        </w:rPr>
        <w:t>：</w:t>
      </w:r>
      <w:r>
        <w:rPr>
          <w:rFonts w:hint="eastAsia" w:ascii="新宋体" w:hAnsi="新宋体" w:eastAsia="新宋体" w:cs="宋体"/>
          <w:szCs w:val="21"/>
        </w:rPr>
        <w:t>按照王伟中同志2022年2月19日对深圳口岸“在更高起点、更高层次、更高目标谋划推进深圳口岸综合改革，推动口岸事业高质量发展，</w:t>
      </w:r>
      <w:r>
        <w:rPr>
          <w:rFonts w:hint="eastAsia" w:ascii="新宋体" w:hAnsi="新宋体" w:eastAsia="新宋体" w:cs="宋体"/>
          <w:szCs w:val="21"/>
          <w:lang w:eastAsia="zh-CN"/>
        </w:rPr>
        <w:t>更好地服务</w:t>
      </w:r>
      <w:r>
        <w:rPr>
          <w:rFonts w:hint="eastAsia" w:ascii="新宋体" w:hAnsi="新宋体" w:eastAsia="新宋体" w:cs="宋体"/>
          <w:szCs w:val="21"/>
        </w:rPr>
        <w:t>深港合作，为深圳“双区”建设、“双改”示范等重大国家战略加快落地落实作出新的更大贡献，以实际行动迎接党的二十大胜利召开”的批示精神，为用足、用好深圳口岸作为深圳“城市名片”的天然资源，充分发挥深圳口岸广告工作潜能，服务深港合作，体现口岸综合改革推进成效，向全社会展示深圳口岸高质量发展良好态势，以打造国际一流口岸为目标，拟针对目前深圳陆路口岸广告杂、乱、差、内容与表现形式严重影响口岸形象、经济效益低等系</w:t>
      </w:r>
      <w:r>
        <w:rPr>
          <w:rFonts w:hint="eastAsia" w:ascii="新宋体" w:hAnsi="新宋体" w:eastAsia="新宋体" w:cs="宋体"/>
          <w:szCs w:val="21"/>
          <w:highlight w:val="none"/>
        </w:rPr>
        <w:t>列问题，对深圳陆路口岸的色彩、亮化、广告设施、商业氛围营造进行统一规划、统一设计、统一施工、统一运营，高起点、高标准、整体性规划设计，全面优化口岸广告空间布局，提升资源规划配置效率，研究制定口岸广告运营的竞争机制（至少2-3家企业集团竞争运行），以考核选优汰劣，取得高资源汇报，达到社会效益和经济效益的统一，以弥补我市财政资金不足。提高口岸广告政治、社会和经济效益，真正发挥口岸广告资源应有的效果和作用。</w:t>
      </w:r>
    </w:p>
    <w:p>
      <w:pPr>
        <w:spacing w:line="360" w:lineRule="auto"/>
        <w:rPr>
          <w:rFonts w:ascii="新宋体" w:hAnsi="新宋体" w:eastAsia="新宋体" w:cs="宋体"/>
          <w:szCs w:val="21"/>
        </w:rPr>
      </w:pPr>
      <w:r>
        <w:rPr>
          <w:rFonts w:hint="eastAsia" w:ascii="新宋体" w:hAnsi="新宋体" w:eastAsia="新宋体" w:cs="宋体"/>
          <w:szCs w:val="21"/>
          <w:highlight w:val="none"/>
        </w:rPr>
        <w:t>鉴于广告设置和运营全过程研究咨询不同于城市规划和市政设施设置咨询，专业门槛较高，需专业广告公司实施，拟建立研究咨询项目——“深圳陆路口岸广告设置规划和视觉重构规划设计服务全过程等顶层策略研究”，费用控制在50万元人民币以内，采取</w:t>
      </w:r>
      <w:r>
        <w:rPr>
          <w:rFonts w:hint="eastAsia" w:ascii="新宋体" w:hAnsi="新宋体" w:eastAsia="新宋体" w:cs="宋体"/>
          <w:szCs w:val="21"/>
          <w:highlight w:val="none"/>
          <w:lang w:val="en-US" w:eastAsia="zh-CN"/>
        </w:rPr>
        <w:t>公开招标</w:t>
      </w:r>
      <w:r>
        <w:rPr>
          <w:rFonts w:hint="eastAsia" w:ascii="新宋体" w:hAnsi="新宋体" w:eastAsia="新宋体" w:cs="宋体"/>
          <w:szCs w:val="21"/>
          <w:highlight w:val="none"/>
        </w:rPr>
        <w:t>方式。研究咨询成果</w:t>
      </w:r>
      <w:r>
        <w:rPr>
          <w:rFonts w:hint="eastAsia" w:ascii="新宋体" w:hAnsi="新宋体" w:eastAsia="新宋体" w:cs="宋体"/>
          <w:szCs w:val="21"/>
        </w:rPr>
        <w:t>将用于七个陆路口岸广告设置规划和视觉重构规划设计的招标、规划、设计、施工及运营全流程。</w:t>
      </w:r>
    </w:p>
    <w:p>
      <w:pPr>
        <w:rPr>
          <w:rFonts w:ascii="新宋体" w:hAnsi="新宋体" w:eastAsia="新宋体"/>
          <w:b/>
          <w:bCs/>
          <w:szCs w:val="21"/>
        </w:rPr>
      </w:pPr>
    </w:p>
    <w:p>
      <w:pPr>
        <w:pStyle w:val="4"/>
        <w:rPr>
          <w:rFonts w:ascii="新宋体" w:hAnsi="新宋体" w:eastAsia="新宋体"/>
          <w:kern w:val="44"/>
          <w:szCs w:val="28"/>
        </w:rPr>
      </w:pPr>
      <w:r>
        <w:rPr>
          <w:rFonts w:hint="eastAsia" w:ascii="新宋体" w:hAnsi="新宋体" w:eastAsia="新宋体"/>
          <w:kern w:val="44"/>
          <w:szCs w:val="28"/>
        </w:rPr>
        <w:t>四、项目技术要求</w:t>
      </w:r>
    </w:p>
    <w:p>
      <w:pPr>
        <w:spacing w:line="360" w:lineRule="auto"/>
        <w:rPr>
          <w:rFonts w:hint="eastAsia" w:ascii="新宋体" w:hAnsi="新宋体" w:eastAsia="新宋体" w:cs="新宋体"/>
          <w:b/>
          <w:bCs/>
          <w:szCs w:val="21"/>
          <w:lang w:val="en-US" w:eastAsia="zh-CN"/>
        </w:rPr>
      </w:pPr>
      <w:r>
        <w:rPr>
          <w:rFonts w:hint="eastAsia" w:ascii="新宋体" w:hAnsi="新宋体" w:eastAsia="新宋体" w:cs="新宋体"/>
          <w:b/>
          <w:bCs/>
          <w:szCs w:val="21"/>
          <w:lang w:val="en-US" w:eastAsia="zh-CN"/>
        </w:rPr>
        <w:t>A.服务要求</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成果材料标题：《深圳陆路口岸广告设置规划和视觉重构规划设计服务全过程等顶层策略研究》</w:t>
      </w:r>
    </w:p>
    <w:p>
      <w:pPr>
        <w:spacing w:line="360" w:lineRule="auto"/>
        <w:rPr>
          <w:rFonts w:hint="eastAsia" w:ascii="新宋体" w:hAnsi="新宋体" w:eastAsia="新宋体" w:cs="新宋体"/>
          <w:b/>
          <w:bCs/>
          <w:color w:val="000000" w:themeColor="text1"/>
          <w:kern w:val="44"/>
          <w:sz w:val="21"/>
          <w:szCs w:val="21"/>
          <w14:textFill>
            <w14:solidFill>
              <w14:schemeClr w14:val="tx1"/>
            </w14:solidFill>
          </w14:textFill>
        </w:rPr>
      </w:pPr>
      <w:r>
        <w:rPr>
          <w:rFonts w:hint="eastAsia" w:ascii="新宋体" w:hAnsi="新宋体" w:eastAsia="新宋体" w:cs="新宋体"/>
          <w:b/>
          <w:bCs/>
          <w:color w:val="000000" w:themeColor="text1"/>
          <w:kern w:val="44"/>
          <w:sz w:val="21"/>
          <w:szCs w:val="21"/>
          <w14:textFill>
            <w14:solidFill>
              <w14:schemeClr w14:val="tx1"/>
            </w14:solidFill>
          </w14:textFill>
        </w:rPr>
        <w:t>（一）宏观分析：深圳口岸广告宏观发展背景分析</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1、国家口岸发展“十四五”规划</w:t>
      </w:r>
      <w:r>
        <w:rPr>
          <w:rFonts w:hint="eastAsia" w:ascii="新宋体" w:hAnsi="新宋体" w:eastAsia="新宋体" w:cs="新宋体"/>
          <w:b w:val="0"/>
          <w:bCs w:val="0"/>
          <w:color w:val="000000" w:themeColor="text1"/>
          <w:kern w:val="44"/>
          <w:sz w:val="21"/>
          <w:szCs w:val="21"/>
          <w:lang w:eastAsia="zh-CN"/>
          <w14:textFill>
            <w14:solidFill>
              <w14:schemeClr w14:val="tx1"/>
            </w14:solidFill>
          </w14:textFill>
        </w:rPr>
        <w:t>、</w:t>
      </w:r>
      <w:r>
        <w:rPr>
          <w:rFonts w:hint="eastAsia" w:ascii="新宋体" w:hAnsi="新宋体" w:eastAsia="新宋体" w:cs="新宋体"/>
          <w:b w:val="0"/>
          <w:bCs w:val="0"/>
          <w:color w:val="000000" w:themeColor="text1"/>
          <w:kern w:val="44"/>
          <w:sz w:val="21"/>
          <w:szCs w:val="21"/>
          <w14:textFill>
            <w14:solidFill>
              <w14:schemeClr w14:val="tx1"/>
            </w14:solidFill>
          </w14:textFill>
        </w:rPr>
        <w:t>深圳市“十四五”规划涉及口岸广告分析；</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2、粤港澳大湾区发展规划纲要涉及口岸广告分析；</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3、香港“两城三圈”战略涉及口岸广告分析。</w:t>
      </w:r>
    </w:p>
    <w:p>
      <w:pPr>
        <w:spacing w:line="360" w:lineRule="auto"/>
        <w:rPr>
          <w:rFonts w:hint="eastAsia" w:ascii="新宋体" w:hAnsi="新宋体" w:eastAsia="新宋体" w:cs="新宋体"/>
          <w:b/>
          <w:bCs/>
          <w:color w:val="000000" w:themeColor="text1"/>
          <w:kern w:val="44"/>
          <w:sz w:val="21"/>
          <w:szCs w:val="21"/>
          <w14:textFill>
            <w14:solidFill>
              <w14:schemeClr w14:val="tx1"/>
            </w14:solidFill>
          </w14:textFill>
        </w:rPr>
      </w:pPr>
      <w:r>
        <w:rPr>
          <w:rFonts w:hint="eastAsia" w:ascii="新宋体" w:hAnsi="新宋体" w:eastAsia="新宋体" w:cs="新宋体"/>
          <w:b/>
          <w:bCs/>
          <w:color w:val="000000" w:themeColor="text1"/>
          <w:kern w:val="44"/>
          <w:sz w:val="21"/>
          <w:szCs w:val="21"/>
          <w14:textFill>
            <w14:solidFill>
              <w14:schemeClr w14:val="tx1"/>
            </w14:solidFill>
          </w14:textFill>
        </w:rPr>
        <w:t>（二）调研勘察：调研深圳七个陆路口岸视觉载体现状及存在问题</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lang w:val="en-US" w:eastAsia="zh-CN"/>
          <w14:textFill>
            <w14:solidFill>
              <w14:schemeClr w14:val="tx1"/>
            </w14:solidFill>
          </w14:textFill>
        </w:rPr>
        <w:t>建立高水平团队，</w:t>
      </w:r>
      <w:r>
        <w:rPr>
          <w:rFonts w:hint="eastAsia" w:ascii="新宋体" w:hAnsi="新宋体" w:eastAsia="新宋体" w:cs="新宋体"/>
          <w:b w:val="0"/>
          <w:bCs w:val="0"/>
          <w:color w:val="000000" w:themeColor="text1"/>
          <w:kern w:val="44"/>
          <w:sz w:val="21"/>
          <w:szCs w:val="21"/>
          <w14:textFill>
            <w14:solidFill>
              <w14:schemeClr w14:val="tx1"/>
            </w14:solidFill>
          </w14:textFill>
        </w:rPr>
        <w:t>通过对深圳七个陆路口岸现有视觉载体及可利用视觉资源现场踏勘分析，明确深圳七个陆路口岸各类型视觉载体发展的阶段，得出未来口岸广告业可利用视觉资源载体发展方向。包括以下基础项目：</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1、深圳口岸视觉载体概况；</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2、深圳口岸视觉载体发展现状；</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3、深圳口岸视觉载体空间格局及分布特征；</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4、深圳口岸视觉载体供需特征</w:t>
      </w:r>
      <w:r>
        <w:rPr>
          <w:rFonts w:hint="eastAsia" w:ascii="新宋体" w:hAnsi="新宋体" w:eastAsia="新宋体" w:cs="新宋体"/>
          <w:b w:val="0"/>
          <w:bCs w:val="0"/>
          <w:color w:val="000000" w:themeColor="text1"/>
          <w:kern w:val="44"/>
          <w:sz w:val="21"/>
          <w:szCs w:val="21"/>
          <w:lang w:eastAsia="zh-CN"/>
          <w14:textFill>
            <w14:solidFill>
              <w14:schemeClr w14:val="tx1"/>
            </w14:solidFill>
          </w14:textFill>
        </w:rPr>
        <w:t>（</w:t>
      </w:r>
      <w:r>
        <w:rPr>
          <w:rFonts w:hint="eastAsia" w:ascii="新宋体" w:hAnsi="新宋体" w:eastAsia="新宋体" w:cs="新宋体"/>
          <w:b w:val="0"/>
          <w:bCs w:val="0"/>
          <w:color w:val="000000" w:themeColor="text1"/>
          <w:kern w:val="44"/>
          <w:sz w:val="21"/>
          <w:szCs w:val="21"/>
          <w:lang w:val="en-US" w:eastAsia="zh-CN"/>
          <w14:textFill>
            <w14:solidFill>
              <w14:schemeClr w14:val="tx1"/>
            </w14:solidFill>
          </w14:textFill>
        </w:rPr>
        <w:t>含受众分析</w:t>
      </w:r>
      <w:r>
        <w:rPr>
          <w:rFonts w:hint="eastAsia" w:ascii="新宋体" w:hAnsi="新宋体" w:eastAsia="新宋体" w:cs="新宋体"/>
          <w:b w:val="0"/>
          <w:bCs w:val="0"/>
          <w:color w:val="000000" w:themeColor="text1"/>
          <w:kern w:val="44"/>
          <w:sz w:val="21"/>
          <w:szCs w:val="21"/>
          <w:lang w:eastAsia="zh-CN"/>
          <w14:textFill>
            <w14:solidFill>
              <w14:schemeClr w14:val="tx1"/>
            </w14:solidFill>
          </w14:textFill>
        </w:rPr>
        <w:t>）</w:t>
      </w:r>
      <w:r>
        <w:rPr>
          <w:rFonts w:hint="eastAsia" w:ascii="新宋体" w:hAnsi="新宋体" w:eastAsia="新宋体" w:cs="新宋体"/>
          <w:b w:val="0"/>
          <w:bCs w:val="0"/>
          <w:color w:val="000000" w:themeColor="text1"/>
          <w:kern w:val="44"/>
          <w:sz w:val="21"/>
          <w:szCs w:val="21"/>
          <w14:textFill>
            <w14:solidFill>
              <w14:schemeClr w14:val="tx1"/>
            </w14:solidFill>
          </w14:textFill>
        </w:rPr>
        <w:t>；</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5、深圳口岸视觉载体运营特征预判；</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6、口岸色彩、亮化、广告设施、标牌及与口岸导视系统、商业氛围现状融合方面存在问题分析。</w:t>
      </w:r>
    </w:p>
    <w:p>
      <w:pPr>
        <w:spacing w:line="360" w:lineRule="auto"/>
        <w:rPr>
          <w:rFonts w:hint="eastAsia" w:ascii="新宋体" w:hAnsi="新宋体" w:eastAsia="新宋体" w:cs="新宋体"/>
          <w:b/>
          <w:bCs/>
          <w:color w:val="000000" w:themeColor="text1"/>
          <w:kern w:val="44"/>
          <w:sz w:val="21"/>
          <w:szCs w:val="21"/>
          <w14:textFill>
            <w14:solidFill>
              <w14:schemeClr w14:val="tx1"/>
            </w14:solidFill>
          </w14:textFill>
        </w:rPr>
      </w:pPr>
      <w:r>
        <w:rPr>
          <w:rFonts w:hint="eastAsia" w:ascii="新宋体" w:hAnsi="新宋体" w:eastAsia="新宋体" w:cs="新宋体"/>
          <w:b/>
          <w:bCs/>
          <w:color w:val="000000" w:themeColor="text1"/>
          <w:kern w:val="44"/>
          <w:sz w:val="21"/>
          <w:szCs w:val="21"/>
          <w14:textFill>
            <w14:solidFill>
              <w14:schemeClr w14:val="tx1"/>
            </w14:solidFill>
          </w14:textFill>
        </w:rPr>
        <w:t>（三）顶层设计：深圳陆路口岸广告设置规划和视觉重构顶层设计</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1、指导思想；</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2、规划范围；</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3、规划依据；</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4、规划原则；</w:t>
      </w:r>
      <w:bookmarkStart w:id="2" w:name="_GoBack"/>
      <w:bookmarkEnd w:id="2"/>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5、总体规划（含使用安全规划）；</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6、修建性详细规划设计的范围及内容；</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7、编制招投标用的项目需求书；</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8、规划设计费测算；</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9、实施工程费用评估；</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10、未来十年口岸广告收益预估；</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11、规划设计及施工运营模式比较研究；</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12、口岸广告运营的竞争机制研究（至少2-3家企业集团竞争运行）。</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（四）附件——节点控制方案：深圳陆路口岸广告设置规划和视觉重构时间节点控制明细表。</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（五）附件——立项呈批材料：根据我办评审最优的规划设计及施工建设运营模式，编制深圳七个陆路口岸广告设置规划、设置标准和视觉重构规设计项目《立项报批材料》。</w:t>
      </w:r>
    </w:p>
    <w:p>
      <w:pPr>
        <w:spacing w:line="360" w:lineRule="auto"/>
        <w:rPr>
          <w:rFonts w:hint="eastAsia" w:ascii="新宋体" w:hAnsi="新宋体" w:eastAsia="新宋体" w:cs="新宋体"/>
          <w:b w:val="0"/>
          <w:bCs w:val="0"/>
          <w:color w:val="000000" w:themeColor="text1"/>
          <w:kern w:val="44"/>
          <w:sz w:val="21"/>
          <w:szCs w:val="21"/>
          <w14:textFill>
            <w14:solidFill>
              <w14:schemeClr w14:val="tx1"/>
            </w14:solidFill>
          </w14:textFill>
        </w:rPr>
      </w:pPr>
      <w:r>
        <w:rPr>
          <w:rFonts w:hint="eastAsia" w:ascii="新宋体" w:hAnsi="新宋体" w:eastAsia="新宋体" w:cs="新宋体"/>
          <w:b w:val="0"/>
          <w:bCs w:val="0"/>
          <w:color w:val="000000" w:themeColor="text1"/>
          <w:kern w:val="44"/>
          <w:sz w:val="21"/>
          <w:szCs w:val="21"/>
          <w14:textFill>
            <w14:solidFill>
              <w14:schemeClr w14:val="tx1"/>
            </w14:solidFill>
          </w14:textFill>
        </w:rPr>
        <w:t>（六）附件——系列招标文件：撰写深圳七个陆路口岸广告设置规划、视觉重构规设计、建设运营项目《招标文件》和《项目需求书》。</w:t>
      </w:r>
    </w:p>
    <w:p>
      <w:pPr>
        <w:spacing w:line="360" w:lineRule="auto"/>
        <w:rPr>
          <w:rFonts w:hint="eastAsia" w:ascii="新宋体" w:hAnsi="新宋体" w:eastAsia="新宋体"/>
          <w:b/>
          <w:lang w:val="en-US" w:eastAsia="zh-CN"/>
        </w:rPr>
      </w:pPr>
      <w:r>
        <w:rPr>
          <w:rFonts w:hint="eastAsia" w:ascii="新宋体" w:hAnsi="新宋体" w:eastAsia="新宋体"/>
          <w:b/>
          <w:lang w:val="en-US" w:eastAsia="zh-CN"/>
        </w:rPr>
        <w:t>B.成果文件及验收</w:t>
      </w:r>
    </w:p>
    <w:p>
      <w:pPr>
        <w:spacing w:line="360" w:lineRule="auto"/>
        <w:rPr>
          <w:rFonts w:hint="eastAsia" w:ascii="新宋体" w:hAnsi="新宋体" w:eastAsia="新宋体"/>
          <w:b w:val="0"/>
          <w:bCs/>
          <w:lang w:val="en-US" w:eastAsia="zh-CN"/>
        </w:rPr>
      </w:pPr>
      <w:r>
        <w:rPr>
          <w:rFonts w:hint="eastAsia" w:ascii="新宋体" w:hAnsi="新宋体" w:eastAsia="新宋体"/>
          <w:b w:val="0"/>
          <w:bCs/>
          <w:lang w:val="en-US" w:eastAsia="zh-CN"/>
        </w:rPr>
        <w:t>（一）成果文件：乙方所提供的咨询成果由文本纸质版和可编辑的电子版组成，必须图文清楚、图面清晰、版式完整、签署齐全。成果提交期间，乙方须提供：</w:t>
      </w:r>
    </w:p>
    <w:p>
      <w:pPr>
        <w:spacing w:line="360" w:lineRule="auto"/>
        <w:rPr>
          <w:rFonts w:hint="eastAsia" w:ascii="新宋体" w:hAnsi="新宋体" w:eastAsia="新宋体"/>
          <w:b w:val="0"/>
          <w:bCs/>
          <w:lang w:val="en-US" w:eastAsia="zh-CN"/>
        </w:rPr>
      </w:pPr>
      <w:r>
        <w:rPr>
          <w:rFonts w:hint="eastAsia" w:ascii="新宋体" w:hAnsi="新宋体" w:eastAsia="新宋体"/>
          <w:b w:val="0"/>
          <w:bCs/>
          <w:lang w:val="en-US" w:eastAsia="zh-CN"/>
        </w:rPr>
        <w:t>1、初  稿：打印版6套、电子版1套；</w:t>
      </w:r>
    </w:p>
    <w:p>
      <w:pPr>
        <w:spacing w:line="360" w:lineRule="auto"/>
        <w:rPr>
          <w:rFonts w:hint="eastAsia" w:ascii="新宋体" w:hAnsi="新宋体" w:eastAsia="新宋体"/>
          <w:b w:val="0"/>
          <w:bCs/>
          <w:lang w:val="en-US" w:eastAsia="zh-CN"/>
        </w:rPr>
      </w:pPr>
      <w:r>
        <w:rPr>
          <w:rFonts w:hint="eastAsia" w:ascii="新宋体" w:hAnsi="新宋体" w:eastAsia="新宋体"/>
          <w:b w:val="0"/>
          <w:bCs/>
          <w:lang w:val="en-US" w:eastAsia="zh-CN"/>
        </w:rPr>
        <w:t>2、征求意见稿：打印版16套、电子版1套；</w:t>
      </w:r>
    </w:p>
    <w:p>
      <w:pPr>
        <w:spacing w:line="360" w:lineRule="auto"/>
        <w:rPr>
          <w:rFonts w:hint="eastAsia" w:ascii="新宋体" w:hAnsi="新宋体" w:eastAsia="新宋体"/>
          <w:b w:val="0"/>
          <w:bCs/>
          <w:lang w:val="en-US" w:eastAsia="zh-CN"/>
        </w:rPr>
      </w:pPr>
      <w:r>
        <w:rPr>
          <w:rFonts w:hint="eastAsia" w:ascii="新宋体" w:hAnsi="新宋体" w:eastAsia="新宋体"/>
          <w:b w:val="0"/>
          <w:bCs/>
          <w:lang w:val="en-US" w:eastAsia="zh-CN"/>
        </w:rPr>
        <w:t>3、评审稿：打印版16套、电子版1套；</w:t>
      </w:r>
    </w:p>
    <w:p>
      <w:pPr>
        <w:spacing w:line="360" w:lineRule="auto"/>
        <w:rPr>
          <w:rFonts w:hint="eastAsia" w:ascii="新宋体" w:hAnsi="新宋体" w:eastAsia="新宋体"/>
          <w:b w:val="0"/>
          <w:bCs/>
          <w:lang w:val="en-US" w:eastAsia="zh-CN"/>
        </w:rPr>
      </w:pPr>
      <w:r>
        <w:rPr>
          <w:rFonts w:hint="eastAsia" w:ascii="新宋体" w:hAnsi="新宋体" w:eastAsia="新宋体"/>
          <w:b w:val="0"/>
          <w:bCs/>
          <w:lang w:val="en-US" w:eastAsia="zh-CN"/>
        </w:rPr>
        <w:t>4、终  稿：打印版6套，电子版1套。</w:t>
      </w:r>
    </w:p>
    <w:p>
      <w:pPr>
        <w:spacing w:line="360" w:lineRule="auto"/>
        <w:rPr>
          <w:rFonts w:hint="eastAsia" w:ascii="新宋体" w:hAnsi="新宋体" w:eastAsia="新宋体"/>
          <w:b w:val="0"/>
          <w:bCs/>
          <w:lang w:val="en-US" w:eastAsia="zh-CN"/>
        </w:rPr>
      </w:pPr>
      <w:r>
        <w:rPr>
          <w:rFonts w:hint="eastAsia" w:ascii="新宋体" w:hAnsi="新宋体" w:eastAsia="新宋体"/>
          <w:b w:val="0"/>
          <w:bCs/>
          <w:lang w:val="en-US" w:eastAsia="zh-CN"/>
        </w:rPr>
        <w:t>（二）验收方式：乙方配合成果制作展示PPT，甲方内部会议评审初稿、征求意见稿、评审稿、终稿。</w:t>
      </w:r>
    </w:p>
    <w:p>
      <w:pPr>
        <w:spacing w:line="360" w:lineRule="auto"/>
        <w:rPr>
          <w:rFonts w:hint="eastAsia" w:ascii="新宋体" w:hAnsi="新宋体" w:eastAsia="新宋体"/>
          <w:b w:val="0"/>
          <w:bCs/>
          <w:lang w:val="en-US" w:eastAsia="zh-CN"/>
        </w:rPr>
      </w:pPr>
    </w:p>
    <w:p>
      <w:pPr>
        <w:pStyle w:val="4"/>
        <w:rPr>
          <w:rFonts w:ascii="新宋体" w:hAnsi="新宋体" w:eastAsia="新宋体"/>
          <w:kern w:val="44"/>
          <w:szCs w:val="28"/>
        </w:rPr>
      </w:pPr>
      <w:r>
        <w:rPr>
          <w:rFonts w:hint="eastAsia" w:ascii="新宋体" w:hAnsi="新宋体" w:eastAsia="新宋体"/>
          <w:kern w:val="44"/>
          <w:szCs w:val="28"/>
        </w:rPr>
        <w:t>五、项目商务要求</w:t>
      </w:r>
    </w:p>
    <w:p>
      <w:pPr>
        <w:spacing w:line="360" w:lineRule="auto"/>
        <w:rPr>
          <w:rFonts w:ascii="新宋体" w:hAnsi="新宋体" w:eastAsia="新宋体" w:cs="宋体"/>
          <w:szCs w:val="21"/>
        </w:rPr>
      </w:pPr>
      <w:r>
        <w:rPr>
          <w:rFonts w:hint="eastAsia" w:ascii="新宋体" w:hAnsi="新宋体" w:eastAsia="新宋体" w:cs="宋体"/>
          <w:szCs w:val="21"/>
        </w:rPr>
        <w:t>（一）服务期限：2022年</w:t>
      </w:r>
      <w:r>
        <w:rPr>
          <w:rFonts w:hint="eastAsia" w:ascii="新宋体" w:hAnsi="新宋体" w:eastAsia="新宋体" w:cs="宋体"/>
          <w:szCs w:val="21"/>
          <w:lang w:val="en-US" w:eastAsia="zh-CN"/>
        </w:rPr>
        <w:t>5</w:t>
      </w:r>
      <w:r>
        <w:rPr>
          <w:rFonts w:hint="eastAsia" w:ascii="新宋体" w:hAnsi="新宋体" w:eastAsia="新宋体" w:cs="宋体"/>
          <w:szCs w:val="21"/>
        </w:rPr>
        <w:t>月</w:t>
      </w:r>
      <w:r>
        <w:rPr>
          <w:rFonts w:hint="eastAsia" w:ascii="新宋体" w:hAnsi="新宋体" w:eastAsia="新宋体" w:cs="宋体"/>
          <w:szCs w:val="21"/>
          <w:lang w:val="en-US" w:eastAsia="zh-CN"/>
        </w:rPr>
        <w:t>15</w:t>
      </w:r>
      <w:r>
        <w:rPr>
          <w:rFonts w:hint="eastAsia" w:ascii="新宋体" w:hAnsi="新宋体" w:eastAsia="新宋体" w:cs="宋体"/>
          <w:szCs w:val="21"/>
        </w:rPr>
        <w:t>日前完成</w:t>
      </w:r>
    </w:p>
    <w:p>
      <w:pPr>
        <w:spacing w:line="360" w:lineRule="auto"/>
        <w:rPr>
          <w:rFonts w:ascii="新宋体" w:hAnsi="新宋体" w:eastAsia="新宋体" w:cs="宋体"/>
          <w:szCs w:val="21"/>
        </w:rPr>
      </w:pPr>
      <w:r>
        <w:rPr>
          <w:rFonts w:hint="eastAsia" w:ascii="新宋体" w:hAnsi="新宋体" w:eastAsia="新宋体" w:cs="宋体"/>
          <w:szCs w:val="21"/>
        </w:rPr>
        <w:t>（二）付款方式：以合同签订为准</w:t>
      </w:r>
    </w:p>
    <w:p>
      <w:pPr>
        <w:spacing w:line="360" w:lineRule="auto"/>
        <w:rPr>
          <w:rFonts w:ascii="新宋体" w:hAnsi="新宋体" w:eastAsia="新宋体" w:cs="宋体"/>
          <w:szCs w:val="21"/>
        </w:rPr>
      </w:pPr>
      <w:r>
        <w:rPr>
          <w:rFonts w:hint="eastAsia" w:ascii="新宋体" w:hAnsi="新宋体" w:eastAsia="新宋体" w:cs="宋体"/>
          <w:szCs w:val="21"/>
        </w:rPr>
        <w:t>（三）质量考核验收标准及违约金</w:t>
      </w:r>
    </w:p>
    <w:p>
      <w:pPr>
        <w:spacing w:line="360" w:lineRule="auto"/>
        <w:rPr>
          <w:rFonts w:ascii="新宋体" w:hAnsi="新宋体" w:eastAsia="新宋体" w:cs="宋体"/>
          <w:szCs w:val="21"/>
        </w:rPr>
      </w:pPr>
      <w:r>
        <w:rPr>
          <w:rFonts w:hint="eastAsia" w:ascii="新宋体" w:hAnsi="新宋体" w:eastAsia="新宋体" w:cs="宋体"/>
          <w:szCs w:val="21"/>
        </w:rPr>
        <w:t>1.质量考核验收标准：以合同签订为准</w:t>
      </w:r>
    </w:p>
    <w:p>
      <w:pPr>
        <w:spacing w:line="360" w:lineRule="auto"/>
        <w:rPr>
          <w:rFonts w:hint="eastAsia" w:ascii="新宋体" w:hAnsi="新宋体" w:eastAsia="新宋体" w:cs="宋体"/>
          <w:szCs w:val="21"/>
        </w:rPr>
      </w:pPr>
      <w:r>
        <w:rPr>
          <w:rFonts w:hint="eastAsia" w:ascii="新宋体" w:hAnsi="新宋体" w:eastAsia="新宋体" w:cs="宋体"/>
          <w:szCs w:val="21"/>
        </w:rPr>
        <w:t>2.违约金：以合同签订为准</w:t>
      </w:r>
    </w:p>
    <w:p>
      <w:pPr>
        <w:spacing w:line="360" w:lineRule="auto"/>
        <w:rPr>
          <w:rFonts w:hint="eastAsia" w:ascii="新宋体" w:hAnsi="新宋体" w:eastAsia="新宋体" w:cs="宋体"/>
          <w:szCs w:val="21"/>
        </w:rPr>
      </w:pPr>
    </w:p>
    <w:p>
      <w:pPr>
        <w:pStyle w:val="4"/>
        <w:rPr>
          <w:rFonts w:ascii="新宋体" w:hAnsi="新宋体" w:eastAsia="新宋体"/>
          <w:kern w:val="44"/>
          <w:szCs w:val="28"/>
        </w:rPr>
      </w:pPr>
      <w:r>
        <w:rPr>
          <w:rFonts w:hint="eastAsia" w:ascii="新宋体" w:hAnsi="新宋体" w:eastAsia="新宋体"/>
          <w:kern w:val="44"/>
          <w:szCs w:val="28"/>
        </w:rPr>
        <w:t>六、投标报价</w:t>
      </w:r>
    </w:p>
    <w:p>
      <w:pPr>
        <w:spacing w:line="360" w:lineRule="auto"/>
        <w:rPr>
          <w:rFonts w:ascii="新宋体" w:hAnsi="新宋体" w:eastAsia="新宋体" w:cs="宋体"/>
          <w:szCs w:val="21"/>
        </w:rPr>
      </w:pPr>
      <w:r>
        <w:rPr>
          <w:rFonts w:hint="eastAsia" w:ascii="新宋体" w:hAnsi="新宋体" w:eastAsia="新宋体" w:cs="宋体"/>
          <w:szCs w:val="21"/>
        </w:rPr>
        <w:t>1.本项目服务费采用包干制，应包括服务成本、法定税费和企业的利润。由企业根据招标文件所提供的资料自行测算投标报价；一经中标，投标报价总价作为中标单位与采购人</w:t>
      </w:r>
      <w:r>
        <w:rPr>
          <w:rFonts w:hint="eastAsia" w:ascii="新宋体" w:hAnsi="新宋体" w:eastAsia="新宋体" w:cs="宋体"/>
          <w:szCs w:val="21"/>
          <w:lang w:eastAsia="zh-CN"/>
        </w:rPr>
        <w:t>签订</w:t>
      </w:r>
      <w:r>
        <w:rPr>
          <w:rFonts w:hint="eastAsia" w:ascii="新宋体" w:hAnsi="新宋体" w:eastAsia="新宋体" w:cs="宋体"/>
          <w:szCs w:val="21"/>
        </w:rPr>
        <w:t>的合同金额，合同期限内不</w:t>
      </w:r>
      <w:r>
        <w:rPr>
          <w:rFonts w:hint="eastAsia" w:ascii="新宋体" w:hAnsi="新宋体" w:eastAsia="新宋体" w:cs="宋体"/>
          <w:szCs w:val="21"/>
          <w:lang w:eastAsia="zh-CN"/>
        </w:rPr>
        <w:t>作调整</w:t>
      </w:r>
      <w:r>
        <w:rPr>
          <w:rFonts w:hint="eastAsia" w:ascii="新宋体" w:hAnsi="新宋体" w:eastAsia="新宋体" w:cs="宋体"/>
          <w:szCs w:val="21"/>
        </w:rPr>
        <w:t>。</w:t>
      </w:r>
    </w:p>
    <w:p>
      <w:pPr>
        <w:spacing w:line="360" w:lineRule="auto"/>
        <w:rPr>
          <w:rFonts w:ascii="新宋体" w:hAnsi="新宋体" w:eastAsia="新宋体" w:cs="宋体"/>
          <w:szCs w:val="21"/>
        </w:rPr>
      </w:pPr>
      <w:r>
        <w:rPr>
          <w:rFonts w:hint="eastAsia" w:ascii="新宋体" w:hAnsi="新宋体" w:eastAsia="新宋体" w:cs="宋体"/>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新宋体" w:hAnsi="新宋体" w:eastAsia="新宋体" w:cs="宋体"/>
          <w:szCs w:val="21"/>
        </w:rPr>
      </w:pPr>
      <w:r>
        <w:rPr>
          <w:rFonts w:hint="eastAsia" w:ascii="新宋体" w:hAnsi="新宋体" w:eastAsia="新宋体" w:cs="宋体"/>
          <w:szCs w:val="21"/>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ascii="新宋体" w:hAnsi="新宋体" w:eastAsia="新宋体" w:cs="宋体"/>
          <w:szCs w:val="21"/>
        </w:rPr>
      </w:pPr>
      <w:r>
        <w:rPr>
          <w:rFonts w:hint="eastAsia" w:ascii="新宋体" w:hAnsi="新宋体" w:eastAsia="新宋体" w:cs="宋体"/>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w:t>
      </w:r>
      <w:r>
        <w:rPr>
          <w:rFonts w:hint="eastAsia" w:ascii="新宋体" w:hAnsi="新宋体" w:eastAsia="新宋体" w:cs="宋体"/>
          <w:szCs w:val="21"/>
          <w:lang w:eastAsia="zh-CN"/>
        </w:rPr>
        <w:t>在其他</w:t>
      </w:r>
      <w:r>
        <w:rPr>
          <w:rFonts w:hint="eastAsia" w:ascii="新宋体" w:hAnsi="新宋体" w:eastAsia="新宋体" w:cs="宋体"/>
          <w:szCs w:val="21"/>
        </w:rPr>
        <w:t>有价款的综合单价或总价内。</w:t>
      </w:r>
    </w:p>
    <w:p>
      <w:pPr>
        <w:spacing w:line="360" w:lineRule="auto"/>
        <w:rPr>
          <w:rFonts w:ascii="新宋体" w:hAnsi="新宋体" w:eastAsia="新宋体" w:cs="宋体"/>
          <w:szCs w:val="21"/>
        </w:rPr>
      </w:pPr>
      <w:r>
        <w:rPr>
          <w:rFonts w:hint="eastAsia" w:ascii="新宋体" w:hAnsi="新宋体" w:eastAsia="新宋体" w:cs="宋体"/>
          <w:szCs w:val="21"/>
        </w:rPr>
        <w:t>5.投标人应充分了解项目的位置、情况、道路及任何</w:t>
      </w:r>
      <w:r>
        <w:rPr>
          <w:rFonts w:hint="eastAsia" w:ascii="新宋体" w:hAnsi="新宋体" w:eastAsia="新宋体" w:cs="宋体"/>
          <w:szCs w:val="21"/>
          <w:lang w:eastAsia="zh-CN"/>
        </w:rPr>
        <w:t>其他</w:t>
      </w:r>
      <w:r>
        <w:rPr>
          <w:rFonts w:hint="eastAsia" w:ascii="新宋体" w:hAnsi="新宋体" w:eastAsia="新宋体" w:cs="宋体"/>
          <w:szCs w:val="21"/>
        </w:rPr>
        <w:t>足以影响投标报价的情况，任何因忽视或误解项目情况而导致的索赔或服务期限延长申请将不获批准。</w:t>
      </w:r>
    </w:p>
    <w:p>
      <w:pPr>
        <w:spacing w:line="360" w:lineRule="auto"/>
        <w:rPr>
          <w:rFonts w:ascii="新宋体" w:hAnsi="新宋体" w:eastAsia="新宋体" w:cs="宋体"/>
          <w:szCs w:val="21"/>
        </w:rPr>
      </w:pPr>
      <w:r>
        <w:rPr>
          <w:rFonts w:hint="eastAsia" w:ascii="新宋体" w:hAnsi="新宋体" w:eastAsia="新宋体" w:cs="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20" w:firstLineChars="200"/>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72"/>
    <w:rsid w:val="001B6EB4"/>
    <w:rsid w:val="00255D17"/>
    <w:rsid w:val="00330C72"/>
    <w:rsid w:val="007853A4"/>
    <w:rsid w:val="007D623F"/>
    <w:rsid w:val="00B47432"/>
    <w:rsid w:val="00B73897"/>
    <w:rsid w:val="1FF95542"/>
    <w:rsid w:val="299B76EA"/>
    <w:rsid w:val="3CED6E25"/>
    <w:rsid w:val="5EB92008"/>
    <w:rsid w:val="64231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qFormat/>
    <w:uiPriority w:val="0"/>
    <w:pPr>
      <w:adjustRightInd w:val="0"/>
      <w:jc w:val="center"/>
      <w:textAlignment w:val="baseline"/>
      <w:outlineLvl w:val="1"/>
    </w:pPr>
    <w:rPr>
      <w:kern w:val="0"/>
      <w:sz w:val="24"/>
      <w:szCs w:val="20"/>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6">
    <w:name w:val="Normal Indent"/>
    <w:basedOn w:val="1"/>
    <w:link w:val="14"/>
    <w:qFormat/>
    <w:uiPriority w:val="0"/>
    <w:pPr>
      <w:ind w:firstLine="420"/>
    </w:pPr>
    <w:rPr>
      <w:szCs w:val="20"/>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字符"/>
    <w:basedOn w:val="10"/>
    <w:link w:val="8"/>
    <w:qFormat/>
    <w:uiPriority w:val="99"/>
    <w:rPr>
      <w:sz w:val="18"/>
      <w:szCs w:val="18"/>
    </w:rPr>
  </w:style>
  <w:style w:type="character" w:customStyle="1" w:styleId="12">
    <w:name w:val="页脚 字符"/>
    <w:basedOn w:val="10"/>
    <w:link w:val="7"/>
    <w:qFormat/>
    <w:uiPriority w:val="99"/>
    <w:rPr>
      <w:sz w:val="18"/>
      <w:szCs w:val="18"/>
    </w:rPr>
  </w:style>
  <w:style w:type="paragraph" w:styleId="13">
    <w:name w:val="List Paragraph"/>
    <w:basedOn w:val="1"/>
    <w:qFormat/>
    <w:uiPriority w:val="0"/>
    <w:pPr>
      <w:ind w:firstLine="420" w:firstLineChars="200"/>
    </w:pPr>
    <w:rPr>
      <w:rFonts w:ascii="Calibri" w:hAnsi="Calibri"/>
      <w:szCs w:val="22"/>
    </w:rPr>
  </w:style>
  <w:style w:type="character" w:customStyle="1" w:styleId="14">
    <w:name w:val="正文缩进 字符"/>
    <w:link w:val="6"/>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20</Lines>
  <Paragraphs>5</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2021-01-25T09:33:00Z</dcterms:created>
  <dc:creator>2020</dc:creator>
  <cp:lastModifiedBy>WF</cp:lastModifiedBy>
  <dcterms:modified xsi:type="dcterms:W3CDTF">2022-04-02T10:57:36Z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6A1D8684685341729F465070DF4D47FE</vt:lpwstr>
  </property>
</Properties>
</file>