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新宋体" w:hAnsi="新宋体" w:eastAsia="新宋体"/>
          <w:kern w:val="44"/>
          <w:sz w:val="30"/>
          <w:szCs w:val="30"/>
        </w:rPr>
      </w:pPr>
      <w:r>
        <w:rPr>
          <w:rFonts w:hint="eastAsia" w:ascii="新宋体" w:hAnsi="新宋体" w:eastAsia="新宋体"/>
          <w:kern w:val="44"/>
          <w:sz w:val="30"/>
          <w:szCs w:val="30"/>
        </w:rPr>
        <w:t>第二章  招标项目需求</w:t>
      </w:r>
    </w:p>
    <w:p>
      <w:pPr>
        <w:pStyle w:val="3"/>
        <w:jc w:val="left"/>
        <w:rPr>
          <w:rFonts w:ascii="新宋体" w:hAnsi="新宋体" w:eastAsia="新宋体"/>
          <w:kern w:val="44"/>
          <w:sz w:val="30"/>
          <w:szCs w:val="30"/>
        </w:rPr>
      </w:pPr>
      <w:r>
        <w:rPr>
          <w:rFonts w:hint="eastAsia" w:ascii="新宋体" w:hAnsi="新宋体" w:eastAsia="新宋体"/>
          <w:kern w:val="44"/>
          <w:sz w:val="30"/>
          <w:szCs w:val="30"/>
        </w:rPr>
        <w:t>一、对通用条款的补充内容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89"/>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jc w:val="center"/>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jc w:val="center"/>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pPr>
              <w:spacing w:line="276" w:lineRule="auto"/>
              <w:jc w:val="center"/>
              <w:rPr>
                <w:rFonts w:ascii="新宋体" w:hAnsi="新宋体" w:eastAsia="新宋体"/>
              </w:rPr>
            </w:pPr>
            <w:r>
              <w:rPr>
                <w:rFonts w:hint="eastAsia" w:ascii="新宋体" w:hAnsi="新宋体" w:eastAsia="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pPr>
              <w:spacing w:line="276" w:lineRule="auto"/>
              <w:jc w:val="center"/>
              <w:rPr>
                <w:rFonts w:ascii="新宋体" w:hAnsi="新宋体" w:eastAsia="新宋体"/>
              </w:rPr>
            </w:pPr>
            <w:r>
              <w:rPr>
                <w:rFonts w:hint="eastAsia" w:ascii="新宋体" w:hAnsi="新宋体" w:eastAsia="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r>
              <w:rPr>
                <w:rFonts w:hint="eastAsia" w:ascii="新宋体" w:hAnsi="新宋体" w:eastAsia="新宋体"/>
                <w:snapToGrid w:val="0"/>
                <w:szCs w:val="21"/>
                <w:u w:val="single"/>
                <w:lang w:val="zh-CN"/>
              </w:rPr>
              <w:t>网下投标</w:t>
            </w:r>
            <w:r>
              <w:rPr>
                <w:rFonts w:hint="eastAsia" w:ascii="新宋体" w:hAnsi="新宋体" w:eastAsia="新宋体"/>
                <w:snapToGrid w:val="0"/>
                <w:szCs w:val="21"/>
                <w:lang w:val="zh-CN"/>
              </w:rPr>
              <w:t>，按照投标文件的要求提交纸质文件正本1份，副本4份，电子文件1份（WORD和PDF格式电子文档各1份）电子文档要求U盘，PDF格式有签字盖章，不留密码，无病毒，不压缩，密封提交），所有应答文件应于递交截止时间之前送达招标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pPr>
              <w:spacing w:line="276" w:lineRule="auto"/>
              <w:jc w:val="center"/>
              <w:rPr>
                <w:rFonts w:ascii="新宋体" w:hAnsi="新宋体" w:eastAsia="新宋体"/>
              </w:rPr>
            </w:pPr>
            <w:r>
              <w:rPr>
                <w:rFonts w:hint="eastAsia" w:ascii="新宋体" w:hAnsi="新宋体" w:eastAsia="新宋体"/>
              </w:rPr>
              <w:t>履约保证金</w:t>
            </w:r>
          </w:p>
        </w:tc>
        <w:tc>
          <w:tcPr>
            <w:tcW w:w="6239" w:type="dxa"/>
            <w:vAlign w:val="center"/>
          </w:tcPr>
          <w:p>
            <w:pPr>
              <w:spacing w:line="276" w:lineRule="auto"/>
              <w:rPr>
                <w:rFonts w:ascii="新宋体" w:hAnsi="新宋体" w:eastAsia="新宋体"/>
              </w:rPr>
            </w:pPr>
            <w:r>
              <w:rPr>
                <w:rFonts w:hint="eastAsia" w:ascii="新宋体" w:hAnsi="新宋体" w:eastAsia="新宋体"/>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pPr>
              <w:spacing w:line="276" w:lineRule="auto"/>
              <w:jc w:val="center"/>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bookmarkStart w:id="0" w:name="_Hlk74670769"/>
            <w:r>
              <w:rPr>
                <w:rFonts w:hint="eastAsia" w:ascii="新宋体" w:hAnsi="新宋体" w:eastAsia="新宋体"/>
                <w:szCs w:val="21"/>
              </w:rPr>
              <w:t>不足陆仟元的按陆仟元收取</w:t>
            </w:r>
            <w:bookmarkEnd w:id="0"/>
            <w:r>
              <w:rPr>
                <w:rFonts w:hint="eastAsia" w:ascii="新宋体" w:hAnsi="新宋体" w:eastAsia="新宋体"/>
                <w:szCs w:val="21"/>
              </w:rPr>
              <w:t>。</w:t>
            </w:r>
          </w:p>
        </w:tc>
      </w:tr>
    </w:tbl>
    <w:p>
      <w:pPr>
        <w:spacing w:line="276" w:lineRule="auto"/>
        <w:rPr>
          <w:b/>
        </w:rPr>
      </w:pPr>
      <w:r>
        <w:rPr>
          <w:rFonts w:hint="eastAsia" w:ascii="新宋体" w:hAnsi="新宋体" w:eastAsia="新宋体"/>
          <w:szCs w:val="21"/>
        </w:rPr>
        <w:t>备注：本表为通用条款相关内容的补充和明确，如与通用条款相冲突的以本表为</w:t>
      </w:r>
      <w:r>
        <w:rPr>
          <w:rFonts w:hint="eastAsia"/>
          <w:szCs w:val="21"/>
        </w:rPr>
        <w:t>准。</w:t>
      </w:r>
    </w:p>
    <w:p/>
    <w:p>
      <w:pPr>
        <w:pStyle w:val="3"/>
        <w:jc w:val="left"/>
        <w:rPr>
          <w:rFonts w:ascii="新宋体" w:hAnsi="新宋体" w:eastAsia="新宋体"/>
          <w:kern w:val="44"/>
          <w:sz w:val="30"/>
          <w:szCs w:val="30"/>
        </w:rPr>
      </w:pPr>
      <w:r>
        <w:rPr>
          <w:rFonts w:hint="eastAsia" w:ascii="新宋体" w:hAnsi="新宋体" w:eastAsia="新宋体"/>
          <w:kern w:val="44"/>
          <w:sz w:val="30"/>
          <w:szCs w:val="30"/>
        </w:rPr>
        <w:t>二、货物清单</w:t>
      </w:r>
    </w:p>
    <w:p>
      <w:pPr>
        <w:spacing w:line="360" w:lineRule="auto"/>
        <w:rPr>
          <w:rFonts w:ascii="宋体" w:hAnsi="宋体"/>
          <w:b/>
          <w:szCs w:val="21"/>
        </w:rPr>
      </w:pPr>
      <w:r>
        <w:rPr>
          <w:rFonts w:hint="eastAsia" w:ascii="宋体" w:hAnsi="宋体"/>
          <w:b/>
          <w:szCs w:val="21"/>
        </w:rPr>
        <w:t>（一）货物总清单</w:t>
      </w:r>
    </w:p>
    <w:tbl>
      <w:tblPr>
        <w:tblStyle w:val="8"/>
        <w:tblpPr w:leftFromText="180" w:rightFromText="180" w:vertAnchor="text" w:horzAnchor="margin" w:tblpXSpec="center" w:tblpY="17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2835"/>
        <w:gridCol w:w="709"/>
        <w:gridCol w:w="708"/>
        <w:gridCol w:w="11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5" w:type="dxa"/>
            <w:vAlign w:val="center"/>
          </w:tcPr>
          <w:p>
            <w:pPr>
              <w:spacing w:line="360" w:lineRule="auto"/>
              <w:jc w:val="center"/>
              <w:rPr>
                <w:rFonts w:ascii="新宋体" w:hAnsi="新宋体" w:eastAsia="新宋体"/>
              </w:rPr>
            </w:pPr>
            <w:r>
              <w:rPr>
                <w:rFonts w:hint="eastAsia" w:ascii="新宋体" w:hAnsi="新宋体" w:eastAsia="新宋体"/>
              </w:rPr>
              <w:t>序号</w:t>
            </w:r>
          </w:p>
        </w:tc>
        <w:tc>
          <w:tcPr>
            <w:tcW w:w="851" w:type="dxa"/>
            <w:vAlign w:val="center"/>
          </w:tcPr>
          <w:p>
            <w:pPr>
              <w:spacing w:line="360" w:lineRule="auto"/>
              <w:jc w:val="center"/>
              <w:rPr>
                <w:rFonts w:ascii="新宋体" w:hAnsi="新宋体" w:eastAsia="新宋体"/>
              </w:rPr>
            </w:pPr>
            <w:r>
              <w:rPr>
                <w:rFonts w:hint="eastAsia" w:ascii="新宋体" w:hAnsi="新宋体" w:eastAsia="新宋体"/>
              </w:rPr>
              <w:t>采购计划编号</w:t>
            </w:r>
          </w:p>
        </w:tc>
        <w:tc>
          <w:tcPr>
            <w:tcW w:w="2835" w:type="dxa"/>
            <w:vAlign w:val="center"/>
          </w:tcPr>
          <w:p>
            <w:pPr>
              <w:spacing w:line="360" w:lineRule="auto"/>
              <w:jc w:val="center"/>
              <w:rPr>
                <w:rFonts w:ascii="新宋体" w:hAnsi="新宋体" w:eastAsia="新宋体"/>
              </w:rPr>
            </w:pPr>
            <w:r>
              <w:rPr>
                <w:rFonts w:hint="eastAsia" w:ascii="新宋体" w:hAnsi="新宋体" w:eastAsia="新宋体"/>
              </w:rPr>
              <w:t>货物名称</w:t>
            </w:r>
          </w:p>
        </w:tc>
        <w:tc>
          <w:tcPr>
            <w:tcW w:w="709" w:type="dxa"/>
            <w:vAlign w:val="center"/>
          </w:tcPr>
          <w:p>
            <w:pPr>
              <w:spacing w:line="360" w:lineRule="auto"/>
              <w:jc w:val="center"/>
              <w:rPr>
                <w:rFonts w:ascii="新宋体" w:hAnsi="新宋体" w:eastAsia="新宋体"/>
              </w:rPr>
            </w:pPr>
            <w:r>
              <w:rPr>
                <w:rFonts w:hint="eastAsia" w:ascii="新宋体" w:hAnsi="新宋体" w:eastAsia="新宋体"/>
              </w:rPr>
              <w:t>数量</w:t>
            </w:r>
          </w:p>
        </w:tc>
        <w:tc>
          <w:tcPr>
            <w:tcW w:w="708" w:type="dxa"/>
            <w:vAlign w:val="center"/>
          </w:tcPr>
          <w:p>
            <w:pPr>
              <w:spacing w:line="360" w:lineRule="auto"/>
              <w:jc w:val="center"/>
              <w:rPr>
                <w:rFonts w:ascii="新宋体" w:hAnsi="新宋体" w:eastAsia="新宋体"/>
              </w:rPr>
            </w:pPr>
            <w:r>
              <w:rPr>
                <w:rFonts w:hint="eastAsia" w:ascii="新宋体" w:hAnsi="新宋体" w:eastAsia="新宋体"/>
              </w:rPr>
              <w:t>单位</w:t>
            </w:r>
          </w:p>
        </w:tc>
        <w:tc>
          <w:tcPr>
            <w:tcW w:w="1134" w:type="dxa"/>
            <w:vAlign w:val="center"/>
          </w:tcPr>
          <w:p>
            <w:pPr>
              <w:spacing w:line="360" w:lineRule="auto"/>
              <w:jc w:val="center"/>
              <w:rPr>
                <w:rFonts w:ascii="新宋体" w:hAnsi="新宋体" w:eastAsia="新宋体"/>
                <w:b/>
              </w:rPr>
            </w:pPr>
            <w:r>
              <w:rPr>
                <w:rFonts w:hint="eastAsia" w:ascii="新宋体" w:hAnsi="新宋体" w:eastAsia="新宋体"/>
                <w:b/>
              </w:rPr>
              <w:t>备注</w:t>
            </w:r>
          </w:p>
        </w:tc>
        <w:tc>
          <w:tcPr>
            <w:tcW w:w="2127" w:type="dxa"/>
            <w:vAlign w:val="center"/>
          </w:tcPr>
          <w:p>
            <w:pPr>
              <w:spacing w:line="360" w:lineRule="auto"/>
              <w:jc w:val="center"/>
              <w:rPr>
                <w:rFonts w:ascii="新宋体" w:hAnsi="新宋体" w:eastAsia="新宋体"/>
                <w:b/>
              </w:rPr>
            </w:pPr>
            <w:r>
              <w:rPr>
                <w:rFonts w:hint="eastAsia" w:ascii="新宋体" w:hAnsi="新宋体" w:eastAsia="新宋体"/>
                <w:b/>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75" w:type="dxa"/>
            <w:vMerge w:val="restart"/>
            <w:vAlign w:val="center"/>
          </w:tcPr>
          <w:p>
            <w:pPr>
              <w:spacing w:line="360" w:lineRule="auto"/>
              <w:jc w:val="center"/>
              <w:rPr>
                <w:rFonts w:ascii="新宋体" w:hAnsi="新宋体" w:eastAsia="新宋体"/>
              </w:rPr>
            </w:pPr>
            <w:r>
              <w:rPr>
                <w:rFonts w:hint="eastAsia" w:ascii="新宋体" w:hAnsi="新宋体" w:eastAsia="新宋体"/>
              </w:rPr>
              <w:t>1</w:t>
            </w:r>
          </w:p>
        </w:tc>
        <w:tc>
          <w:tcPr>
            <w:tcW w:w="851" w:type="dxa"/>
            <w:vMerge w:val="restart"/>
            <w:vAlign w:val="center"/>
          </w:tcPr>
          <w:p>
            <w:pPr>
              <w:spacing w:line="360" w:lineRule="auto"/>
              <w:jc w:val="center"/>
              <w:rPr>
                <w:rFonts w:ascii="新宋体" w:hAnsi="新宋体" w:eastAsia="新宋体"/>
              </w:rPr>
            </w:pPr>
          </w:p>
        </w:tc>
        <w:tc>
          <w:tcPr>
            <w:tcW w:w="2835" w:type="dxa"/>
            <w:vAlign w:val="center"/>
          </w:tcPr>
          <w:p>
            <w:pPr>
              <w:spacing w:line="360" w:lineRule="auto"/>
              <w:jc w:val="left"/>
              <w:rPr>
                <w:rFonts w:ascii="新宋体" w:hAnsi="新宋体" w:eastAsia="新宋体"/>
              </w:rPr>
            </w:pPr>
            <w:r>
              <w:rPr>
                <w:rFonts w:hint="eastAsia" w:ascii="新宋体" w:hAnsi="新宋体" w:eastAsia="新宋体"/>
                <w:bCs/>
                <w:color w:val="000000" w:themeColor="text1"/>
                <w:szCs w:val="21"/>
                <w:lang w:eastAsia="zh-Hans"/>
                <w14:textFill>
                  <w14:solidFill>
                    <w14:schemeClr w14:val="tx1"/>
                  </w14:solidFill>
                </w14:textFill>
              </w:rPr>
              <w:t>移动应用安全检测设备</w:t>
            </w:r>
            <w:r>
              <w:rPr>
                <w:rFonts w:hint="eastAsia" w:ascii="新宋体" w:hAnsi="新宋体" w:eastAsia="新宋体"/>
                <w:bCs/>
                <w:color w:val="000000" w:themeColor="text1"/>
                <w:szCs w:val="21"/>
                <w14:textFill>
                  <w14:solidFill>
                    <w14:schemeClr w14:val="tx1"/>
                  </w14:solidFill>
                </w14:textFill>
              </w:rPr>
              <w:t>（含</w:t>
            </w:r>
            <w:r>
              <w:rPr>
                <w:rFonts w:hint="eastAsia" w:ascii="新宋体" w:hAnsi="新宋体" w:eastAsia="新宋体"/>
                <w:bCs/>
                <w:color w:val="000000" w:themeColor="text1"/>
                <w:szCs w:val="21"/>
                <w:lang w:eastAsia="zh-Hans"/>
                <w14:textFill>
                  <w14:solidFill>
                    <w14:schemeClr w14:val="tx1"/>
                  </w14:solidFill>
                </w14:textFill>
              </w:rPr>
              <w:t>安全漏洞模块</w:t>
            </w:r>
            <w:r>
              <w:rPr>
                <w:rFonts w:hint="eastAsia" w:ascii="新宋体" w:hAnsi="新宋体" w:eastAsia="新宋体"/>
                <w:bCs/>
                <w:color w:val="000000" w:themeColor="text1"/>
                <w:szCs w:val="21"/>
                <w14:textFill>
                  <w14:solidFill>
                    <w14:schemeClr w14:val="tx1"/>
                  </w14:solidFill>
                </w14:textFill>
              </w:rPr>
              <w:t xml:space="preserve">和 </w:t>
            </w:r>
            <w:r>
              <w:rPr>
                <w:rFonts w:hint="eastAsia" w:ascii="新宋体" w:hAnsi="新宋体" w:eastAsia="新宋体"/>
                <w:bCs/>
                <w:color w:val="000000" w:themeColor="text1"/>
                <w:szCs w:val="21"/>
                <w:lang w:eastAsia="zh-Hans"/>
                <w14:textFill>
                  <w14:solidFill>
                    <w14:schemeClr w14:val="tx1"/>
                  </w14:solidFill>
                </w14:textFill>
              </w:rPr>
              <w:t>个人信息安全影响评估模块</w:t>
            </w:r>
            <w:r>
              <w:rPr>
                <w:rFonts w:hint="eastAsia" w:ascii="新宋体" w:hAnsi="新宋体" w:eastAsia="新宋体"/>
                <w:bCs/>
                <w:color w:val="000000" w:themeColor="text1"/>
                <w:szCs w:val="21"/>
                <w14:textFill>
                  <w14:solidFill>
                    <w14:schemeClr w14:val="tx1"/>
                  </w14:solidFill>
                </w14:textFill>
              </w:rPr>
              <w:t>）</w:t>
            </w:r>
          </w:p>
        </w:tc>
        <w:tc>
          <w:tcPr>
            <w:tcW w:w="709" w:type="dxa"/>
            <w:vAlign w:val="center"/>
          </w:tcPr>
          <w:p>
            <w:pPr>
              <w:spacing w:line="360" w:lineRule="auto"/>
              <w:jc w:val="center"/>
              <w:rPr>
                <w:rFonts w:ascii="新宋体" w:hAnsi="新宋体" w:eastAsia="新宋体"/>
              </w:rPr>
            </w:pPr>
            <w:r>
              <w:rPr>
                <w:rFonts w:ascii="新宋体" w:hAnsi="新宋体" w:eastAsia="新宋体"/>
                <w:bCs/>
                <w:color w:val="000000" w:themeColor="text1"/>
                <w:szCs w:val="21"/>
                <w14:textFill>
                  <w14:solidFill>
                    <w14:schemeClr w14:val="tx1"/>
                  </w14:solidFill>
                </w14:textFill>
              </w:rPr>
              <w:t>1</w:t>
            </w:r>
          </w:p>
        </w:tc>
        <w:tc>
          <w:tcPr>
            <w:tcW w:w="708" w:type="dxa"/>
            <w:vAlign w:val="center"/>
          </w:tcPr>
          <w:p>
            <w:pPr>
              <w:spacing w:line="360" w:lineRule="auto"/>
              <w:jc w:val="center"/>
              <w:rPr>
                <w:rFonts w:ascii="新宋体" w:hAnsi="新宋体" w:eastAsia="新宋体"/>
              </w:rPr>
            </w:pPr>
            <w:r>
              <w:rPr>
                <w:rFonts w:hint="eastAsia" w:ascii="新宋体" w:hAnsi="新宋体" w:eastAsia="新宋体"/>
                <w:bCs/>
                <w:color w:val="000000" w:themeColor="text1"/>
                <w:szCs w:val="21"/>
                <w:lang w:eastAsia="zh-Hans"/>
                <w14:textFill>
                  <w14:solidFill>
                    <w14:schemeClr w14:val="tx1"/>
                  </w14:solidFill>
                </w14:textFill>
              </w:rPr>
              <w:t>套</w:t>
            </w:r>
          </w:p>
        </w:tc>
        <w:tc>
          <w:tcPr>
            <w:tcW w:w="1134" w:type="dxa"/>
            <w:vAlign w:val="center"/>
          </w:tcPr>
          <w:p>
            <w:pPr>
              <w:spacing w:line="360" w:lineRule="auto"/>
              <w:jc w:val="center"/>
              <w:rPr>
                <w:rFonts w:ascii="新宋体" w:hAnsi="新宋体" w:eastAsia="新宋体"/>
                <w:b/>
                <w:color w:val="FF0000"/>
              </w:rPr>
            </w:pPr>
            <w:r>
              <w:rPr>
                <w:rFonts w:hint="eastAsia" w:ascii="新宋体" w:hAnsi="新宋体" w:eastAsia="新宋体"/>
                <w:color w:val="000000" w:themeColor="text1"/>
                <w14:textFill>
                  <w14:solidFill>
                    <w14:schemeClr w14:val="tx1"/>
                  </w14:solidFill>
                </w14:textFill>
              </w:rPr>
              <w:t>拒绝进口</w:t>
            </w:r>
          </w:p>
        </w:tc>
        <w:tc>
          <w:tcPr>
            <w:tcW w:w="2127" w:type="dxa"/>
            <w:vMerge w:val="restart"/>
            <w:vAlign w:val="center"/>
          </w:tcPr>
          <w:p>
            <w:pPr>
              <w:spacing w:line="360" w:lineRule="auto"/>
              <w:jc w:val="center"/>
              <w:rPr>
                <w:rFonts w:ascii="新宋体" w:hAnsi="新宋体" w:eastAsia="新宋体"/>
              </w:rPr>
            </w:pPr>
            <w:r>
              <w:rPr>
                <w:rFonts w:hint="eastAsia" w:ascii="新宋体" w:hAnsi="新宋体" w:eastAsia="新宋体"/>
                <w:bCs/>
                <w:color w:val="000000" w:themeColor="text1"/>
                <w:szCs w:val="21"/>
                <w14:textFill>
                  <w14:solidFill>
                    <w14:schemeClr w14:val="tx1"/>
                  </w14:solidFill>
                </w14:textFill>
              </w:rPr>
              <w:t>90万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5" w:type="dxa"/>
            <w:vMerge w:val="continue"/>
            <w:vAlign w:val="center"/>
          </w:tcPr>
          <w:p>
            <w:pPr>
              <w:spacing w:line="360" w:lineRule="auto"/>
              <w:jc w:val="center"/>
              <w:rPr>
                <w:rFonts w:ascii="新宋体" w:hAnsi="新宋体" w:eastAsia="新宋体"/>
              </w:rPr>
            </w:pPr>
          </w:p>
        </w:tc>
        <w:tc>
          <w:tcPr>
            <w:tcW w:w="851" w:type="dxa"/>
            <w:vMerge w:val="continue"/>
            <w:vAlign w:val="center"/>
          </w:tcPr>
          <w:p>
            <w:pPr>
              <w:spacing w:line="360" w:lineRule="auto"/>
              <w:jc w:val="center"/>
              <w:rPr>
                <w:rFonts w:ascii="新宋体" w:hAnsi="新宋体" w:eastAsia="新宋体"/>
              </w:rPr>
            </w:pPr>
          </w:p>
        </w:tc>
        <w:tc>
          <w:tcPr>
            <w:tcW w:w="2835" w:type="dxa"/>
            <w:vAlign w:val="center"/>
          </w:tcPr>
          <w:p>
            <w:pPr>
              <w:spacing w:line="360" w:lineRule="auto"/>
              <w:jc w:val="center"/>
              <w:rPr>
                <w:rFonts w:ascii="新宋体" w:hAnsi="新宋体" w:eastAsia="新宋体"/>
              </w:rPr>
            </w:pPr>
            <w:r>
              <w:rPr>
                <w:rFonts w:hint="eastAsia" w:ascii="新宋体" w:hAnsi="新宋体" w:eastAsia="新宋体"/>
                <w:bCs/>
                <w:color w:val="000000" w:themeColor="text1"/>
                <w:szCs w:val="21"/>
                <w:lang w:eastAsia="zh-Hans"/>
                <w14:textFill>
                  <w14:solidFill>
                    <w14:schemeClr w14:val="tx1"/>
                  </w14:solidFill>
                </w14:textFill>
              </w:rPr>
              <w:t>测试</w:t>
            </w:r>
            <w:r>
              <w:rPr>
                <w:rFonts w:hint="eastAsia" w:ascii="新宋体" w:hAnsi="新宋体" w:eastAsia="新宋体"/>
                <w:bCs/>
                <w:color w:val="000000" w:themeColor="text1"/>
                <w:szCs w:val="21"/>
                <w14:textFill>
                  <w14:solidFill>
                    <w14:schemeClr w14:val="tx1"/>
                  </w14:solidFill>
                </w14:textFill>
              </w:rPr>
              <w:t>终端</w:t>
            </w:r>
          </w:p>
        </w:tc>
        <w:tc>
          <w:tcPr>
            <w:tcW w:w="709" w:type="dxa"/>
            <w:vAlign w:val="center"/>
          </w:tcPr>
          <w:p>
            <w:pPr>
              <w:spacing w:line="360" w:lineRule="auto"/>
              <w:jc w:val="center"/>
              <w:rPr>
                <w:rFonts w:ascii="新宋体" w:hAnsi="新宋体" w:eastAsia="新宋体"/>
              </w:rPr>
            </w:pPr>
            <w:r>
              <w:rPr>
                <w:rFonts w:hint="eastAsia" w:ascii="新宋体" w:hAnsi="新宋体" w:eastAsia="新宋体"/>
                <w:bCs/>
                <w:color w:val="000000" w:themeColor="text1"/>
                <w:szCs w:val="21"/>
                <w14:textFill>
                  <w14:solidFill>
                    <w14:schemeClr w14:val="tx1"/>
                  </w14:solidFill>
                </w14:textFill>
              </w:rPr>
              <w:t>6</w:t>
            </w:r>
          </w:p>
        </w:tc>
        <w:tc>
          <w:tcPr>
            <w:tcW w:w="708" w:type="dxa"/>
            <w:vAlign w:val="center"/>
          </w:tcPr>
          <w:p>
            <w:pPr>
              <w:spacing w:line="360" w:lineRule="auto"/>
              <w:jc w:val="center"/>
              <w:rPr>
                <w:rFonts w:ascii="新宋体" w:hAnsi="新宋体" w:eastAsia="新宋体"/>
              </w:rPr>
            </w:pPr>
            <w:r>
              <w:rPr>
                <w:rFonts w:hint="eastAsia" w:ascii="新宋体" w:hAnsi="新宋体" w:eastAsia="新宋体"/>
                <w:bCs/>
                <w:color w:val="000000" w:themeColor="text1"/>
                <w:szCs w:val="21"/>
                <w:lang w:eastAsia="zh-Hans"/>
                <w14:textFill>
                  <w14:solidFill>
                    <w14:schemeClr w14:val="tx1"/>
                  </w14:solidFill>
                </w14:textFill>
              </w:rPr>
              <w:t>台</w:t>
            </w:r>
          </w:p>
        </w:tc>
        <w:tc>
          <w:tcPr>
            <w:tcW w:w="1134" w:type="dxa"/>
            <w:vAlign w:val="center"/>
          </w:tcPr>
          <w:p>
            <w:pPr>
              <w:spacing w:line="360" w:lineRule="auto"/>
              <w:jc w:val="center"/>
              <w:rPr>
                <w:rFonts w:ascii="新宋体" w:hAnsi="新宋体" w:eastAsia="新宋体"/>
                <w:b/>
                <w:color w:val="FF0000"/>
              </w:rPr>
            </w:pPr>
            <w:r>
              <w:rPr>
                <w:rFonts w:hint="eastAsia" w:ascii="新宋体" w:hAnsi="新宋体" w:eastAsia="新宋体"/>
                <w:color w:val="000000" w:themeColor="text1"/>
                <w14:textFill>
                  <w14:solidFill>
                    <w14:schemeClr w14:val="tx1"/>
                  </w14:solidFill>
                </w14:textFill>
              </w:rPr>
              <w:t>拒绝进口</w:t>
            </w:r>
          </w:p>
        </w:tc>
        <w:tc>
          <w:tcPr>
            <w:tcW w:w="2127" w:type="dxa"/>
            <w:vMerge w:val="continue"/>
            <w:vAlign w:val="center"/>
          </w:tcPr>
          <w:p>
            <w:pPr>
              <w:spacing w:line="360" w:lineRule="auto"/>
              <w:jc w:val="center"/>
              <w:rPr>
                <w:rFonts w:ascii="新宋体" w:hAnsi="新宋体" w:eastAsia="新宋体"/>
              </w:rPr>
            </w:pPr>
          </w:p>
        </w:tc>
      </w:tr>
    </w:tbl>
    <w:p>
      <w:pPr>
        <w:rPr>
          <w:rFonts w:ascii="宋体" w:hAnsi="宋体"/>
          <w:b/>
          <w:color w:val="FF0000"/>
          <w:szCs w:val="21"/>
        </w:rPr>
      </w:pPr>
    </w:p>
    <w:p>
      <w:pPr>
        <w:spacing w:line="276" w:lineRule="auto"/>
        <w:rPr>
          <w:rFonts w:ascii="新宋体" w:hAnsi="新宋体" w:eastAsia="新宋体"/>
          <w:b/>
          <w:szCs w:val="21"/>
        </w:rPr>
      </w:pPr>
      <w:r>
        <w:rPr>
          <w:rFonts w:hint="eastAsia" w:ascii="新宋体" w:hAnsi="新宋体" w:eastAsia="新宋体"/>
          <w:b/>
          <w:szCs w:val="21"/>
        </w:rPr>
        <w:t xml:space="preserve">备注：1.备注栏注明“拒绝进口”的产品不接受投标人选用进口产品参与投标；注明“接受进口”的产品允许投标人选用进口产品参与投标，但不排斥国内产品。 </w:t>
      </w:r>
    </w:p>
    <w:p>
      <w:pPr>
        <w:spacing w:line="276" w:lineRule="auto"/>
        <w:rPr>
          <w:rFonts w:ascii="新宋体" w:hAnsi="新宋体" w:eastAsia="新宋体"/>
          <w:b/>
          <w:szCs w:val="21"/>
        </w:rPr>
      </w:pPr>
      <w:r>
        <w:rPr>
          <w:rFonts w:hint="eastAsia" w:ascii="新宋体" w:hAnsi="新宋体" w:eastAsia="新宋体"/>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spacing w:line="276" w:lineRule="auto"/>
        <w:rPr>
          <w:rFonts w:ascii="新宋体" w:hAnsi="新宋体" w:eastAsia="新宋体"/>
          <w:b/>
          <w:szCs w:val="21"/>
        </w:rPr>
      </w:pPr>
      <w:r>
        <w:rPr>
          <w:rFonts w:hint="eastAsia" w:ascii="新宋体" w:hAnsi="新宋体" w:eastAsia="新宋体"/>
          <w:b/>
          <w:szCs w:val="21"/>
        </w:rPr>
        <w:t>3、本项目核心产品为：无。</w:t>
      </w:r>
    </w:p>
    <w:p>
      <w:pPr>
        <w:rPr>
          <w:rFonts w:ascii="宋体" w:hAnsi="宋体"/>
          <w:b/>
          <w:color w:val="FF0000"/>
          <w:szCs w:val="21"/>
        </w:rPr>
      </w:pPr>
    </w:p>
    <w:p>
      <w:pPr>
        <w:pStyle w:val="3"/>
        <w:jc w:val="left"/>
        <w:rPr>
          <w:rFonts w:ascii="新宋体" w:hAnsi="新宋体" w:eastAsia="新宋体"/>
          <w:kern w:val="44"/>
          <w:sz w:val="30"/>
          <w:szCs w:val="30"/>
        </w:rPr>
      </w:pPr>
      <w:bookmarkStart w:id="1" w:name="_Toc128884461"/>
      <w:r>
        <w:rPr>
          <w:rFonts w:hint="eastAsia" w:ascii="新宋体" w:hAnsi="新宋体" w:eastAsia="新宋体"/>
          <w:kern w:val="44"/>
          <w:sz w:val="30"/>
          <w:szCs w:val="30"/>
        </w:rPr>
        <w:t>三、实质性条款</w:t>
      </w:r>
    </w:p>
    <w:tbl>
      <w:tblPr>
        <w:tblStyle w:val="8"/>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8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pacing w:line="360" w:lineRule="auto"/>
              <w:jc w:val="center"/>
              <w:rPr>
                <w:rFonts w:ascii="新宋体" w:hAnsi="新宋体" w:eastAsia="新宋体"/>
              </w:rPr>
            </w:pPr>
            <w:r>
              <w:rPr>
                <w:rFonts w:hint="eastAsia" w:ascii="新宋体" w:hAnsi="新宋体" w:eastAsia="新宋体"/>
              </w:rPr>
              <w:t>序号</w:t>
            </w:r>
          </w:p>
        </w:tc>
        <w:tc>
          <w:tcPr>
            <w:tcW w:w="8276" w:type="dxa"/>
            <w:vAlign w:val="center"/>
          </w:tcPr>
          <w:p>
            <w:pPr>
              <w:spacing w:line="360" w:lineRule="auto"/>
              <w:jc w:val="center"/>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pacing w:line="360" w:lineRule="auto"/>
              <w:jc w:val="center"/>
              <w:rPr>
                <w:rFonts w:ascii="新宋体" w:hAnsi="新宋体" w:eastAsia="新宋体"/>
              </w:rPr>
            </w:pPr>
            <w:r>
              <w:rPr>
                <w:rFonts w:hint="eastAsia" w:ascii="新宋体" w:hAnsi="新宋体" w:eastAsia="新宋体"/>
              </w:rPr>
              <w:t>1</w:t>
            </w:r>
          </w:p>
        </w:tc>
        <w:tc>
          <w:tcPr>
            <w:tcW w:w="8276" w:type="dxa"/>
            <w:vAlign w:val="center"/>
          </w:tcPr>
          <w:p>
            <w:pPr>
              <w:spacing w:line="360" w:lineRule="auto"/>
              <w:jc w:val="left"/>
              <w:rPr>
                <w:rFonts w:ascii="新宋体" w:hAnsi="新宋体" w:eastAsia="新宋体"/>
              </w:rPr>
            </w:pPr>
            <w:r>
              <w:rPr>
                <w:rFonts w:hint="eastAsia" w:ascii="新宋体" w:hAnsi="新宋体" w:eastAsia="新宋体"/>
              </w:rPr>
              <w:t>投标文件载明的交货期不超过招标文件规定的期限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pacing w:line="360" w:lineRule="auto"/>
              <w:jc w:val="center"/>
              <w:rPr>
                <w:rFonts w:ascii="新宋体" w:hAnsi="新宋体" w:eastAsia="新宋体"/>
              </w:rPr>
            </w:pPr>
            <w:r>
              <w:rPr>
                <w:rFonts w:hint="eastAsia" w:ascii="新宋体" w:hAnsi="新宋体" w:eastAsia="新宋体"/>
              </w:rPr>
              <w:t>2</w:t>
            </w:r>
          </w:p>
        </w:tc>
        <w:tc>
          <w:tcPr>
            <w:tcW w:w="8276" w:type="dxa"/>
            <w:vAlign w:val="center"/>
          </w:tcPr>
          <w:p>
            <w:pPr>
              <w:spacing w:line="360" w:lineRule="auto"/>
              <w:jc w:val="left"/>
              <w:rPr>
                <w:rFonts w:ascii="新宋体" w:hAnsi="新宋体" w:eastAsia="新宋体"/>
              </w:rPr>
            </w:pPr>
            <w:r>
              <w:rPr>
                <w:rFonts w:hint="eastAsia" w:ascii="新宋体" w:hAnsi="新宋体" w:eastAsia="新宋体"/>
              </w:rPr>
              <w:t>投标文件载明的免费保修期不低于招标文件规定的期限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pacing w:line="360" w:lineRule="auto"/>
              <w:jc w:val="center"/>
              <w:rPr>
                <w:rFonts w:ascii="新宋体" w:hAnsi="新宋体" w:eastAsia="新宋体"/>
              </w:rPr>
            </w:pPr>
            <w:r>
              <w:rPr>
                <w:rFonts w:hint="eastAsia" w:ascii="新宋体" w:hAnsi="新宋体" w:eastAsia="新宋体"/>
              </w:rPr>
              <w:t>3</w:t>
            </w:r>
          </w:p>
        </w:tc>
        <w:tc>
          <w:tcPr>
            <w:tcW w:w="8276" w:type="dxa"/>
            <w:vAlign w:val="center"/>
          </w:tcPr>
          <w:p>
            <w:pPr>
              <w:spacing w:line="360" w:lineRule="auto"/>
              <w:jc w:val="left"/>
              <w:rPr>
                <w:rFonts w:ascii="新宋体" w:hAnsi="新宋体" w:eastAsia="新宋体"/>
              </w:rPr>
            </w:pPr>
            <w:r>
              <w:rPr>
                <w:rFonts w:hint="eastAsia" w:ascii="新宋体" w:hAnsi="新宋体" w:eastAsia="新宋体"/>
              </w:rPr>
              <w:t>具体技术要求、商务需求中带“★”要求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pacing w:line="360" w:lineRule="auto"/>
              <w:jc w:val="center"/>
              <w:rPr>
                <w:rFonts w:ascii="新宋体" w:hAnsi="新宋体" w:eastAsia="新宋体"/>
              </w:rPr>
            </w:pPr>
            <w:r>
              <w:rPr>
                <w:rFonts w:hint="eastAsia" w:ascii="新宋体" w:hAnsi="新宋体" w:eastAsia="新宋体"/>
              </w:rPr>
              <w:t>4</w:t>
            </w:r>
          </w:p>
        </w:tc>
        <w:tc>
          <w:tcPr>
            <w:tcW w:w="8276" w:type="dxa"/>
            <w:vAlign w:val="center"/>
          </w:tcPr>
          <w:p>
            <w:pPr>
              <w:spacing w:line="360" w:lineRule="auto"/>
              <w:jc w:val="left"/>
              <w:rPr>
                <w:rFonts w:ascii="新宋体" w:hAnsi="新宋体" w:eastAsia="新宋体"/>
              </w:rPr>
            </w:pPr>
            <w:r>
              <w:rPr>
                <w:rFonts w:hint="eastAsia" w:ascii="新宋体" w:hAnsi="新宋体" w:eastAsia="新宋体"/>
                <w:bCs/>
                <w:color w:val="000000" w:themeColor="text1"/>
                <w:szCs w:val="21"/>
                <w14:textFill>
                  <w14:solidFill>
                    <w14:schemeClr w14:val="tx1"/>
                  </w14:solidFill>
                </w14:textFill>
              </w:rPr>
              <w:t>签订合同后15天（日历日）内交货。提供承诺函（格式自拟）。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pacing w:line="360" w:lineRule="auto"/>
              <w:jc w:val="center"/>
              <w:rPr>
                <w:rFonts w:ascii="新宋体" w:hAnsi="新宋体" w:eastAsia="新宋体"/>
              </w:rPr>
            </w:pPr>
            <w:r>
              <w:rPr>
                <w:rFonts w:hint="eastAsia" w:ascii="新宋体" w:hAnsi="新宋体" w:eastAsia="新宋体"/>
              </w:rPr>
              <w:t>5</w:t>
            </w:r>
          </w:p>
        </w:tc>
        <w:tc>
          <w:tcPr>
            <w:tcW w:w="8276" w:type="dxa"/>
            <w:vAlign w:val="center"/>
          </w:tcPr>
          <w:p>
            <w:pPr>
              <w:spacing w:line="360" w:lineRule="auto"/>
              <w:jc w:val="left"/>
              <w:rPr>
                <w:rFonts w:ascii="新宋体" w:hAnsi="新宋体" w:eastAsia="新宋体"/>
              </w:rPr>
            </w:pPr>
            <w:r>
              <w:rPr>
                <w:rFonts w:hint="eastAsia" w:ascii="新宋体" w:hAnsi="新宋体" w:eastAsia="新宋体"/>
                <w:color w:val="000000" w:themeColor="text1"/>
                <w:kern w:val="0"/>
                <w:szCs w:val="21"/>
                <w14:textFill>
                  <w14:solidFill>
                    <w14:schemeClr w14:val="tx1"/>
                  </w14:solidFill>
                </w14:textFill>
              </w:rPr>
              <w:t>投标文件载明的免费保修期为3</w:t>
            </w:r>
            <w:r>
              <w:rPr>
                <w:rFonts w:hint="eastAsia" w:ascii="新宋体" w:hAnsi="新宋体" w:eastAsia="新宋体"/>
                <w:bCs/>
                <w:color w:val="000000" w:themeColor="text1"/>
                <w:szCs w:val="21"/>
                <w14:textFill>
                  <w14:solidFill>
                    <w14:schemeClr w14:val="tx1"/>
                  </w14:solidFill>
                </w14:textFill>
              </w:rPr>
              <w:t>年，时间自最终验收合格并交付使用之日起计算；</w:t>
            </w:r>
            <w:r>
              <w:rPr>
                <w:rFonts w:hint="eastAsia" w:ascii="新宋体" w:hAnsi="新宋体" w:eastAsia="新宋体"/>
                <w:bCs/>
                <w:color w:val="000000" w:themeColor="text1"/>
                <w:szCs w:val="21"/>
                <w:lang w:eastAsia="zh-Hans"/>
                <w14:textFill>
                  <w14:solidFill>
                    <w14:schemeClr w14:val="tx1"/>
                  </w14:solidFill>
                </w14:textFill>
              </w:rPr>
              <w:t>免费提供</w:t>
            </w:r>
            <w:r>
              <w:rPr>
                <w:rFonts w:hint="eastAsia" w:ascii="新宋体" w:hAnsi="新宋体" w:eastAsia="新宋体"/>
                <w:bCs/>
                <w:color w:val="000000" w:themeColor="text1"/>
                <w:szCs w:val="21"/>
                <w14:textFill>
                  <w14:solidFill>
                    <w14:schemeClr w14:val="tx1"/>
                  </w14:solidFill>
                </w14:textFill>
              </w:rPr>
              <w:t>5</w:t>
            </w:r>
            <w:r>
              <w:rPr>
                <w:rFonts w:hint="eastAsia" w:ascii="新宋体" w:hAnsi="新宋体" w:eastAsia="新宋体"/>
                <w:bCs/>
                <w:color w:val="000000" w:themeColor="text1"/>
                <w:szCs w:val="21"/>
                <w:lang w:eastAsia="zh-Hans"/>
                <w14:textFill>
                  <w14:solidFill>
                    <w14:schemeClr w14:val="tx1"/>
                  </w14:solidFill>
                </w14:textFill>
              </w:rPr>
              <w:t>年相关的软件系统打补丁、升级服务及介质，支持系统功能升级和规则库升级</w:t>
            </w:r>
            <w:r>
              <w:rPr>
                <w:rFonts w:hint="eastAsia" w:ascii="新宋体" w:hAnsi="新宋体" w:eastAsia="新宋体"/>
                <w:bCs/>
                <w:color w:val="000000" w:themeColor="text1"/>
                <w:szCs w:val="21"/>
                <w14:textFill>
                  <w14:solidFill>
                    <w14:schemeClr w14:val="tx1"/>
                  </w14:solidFill>
                </w14:textFill>
              </w:rPr>
              <w:t>。提供承诺函（格式自拟）。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pacing w:line="360" w:lineRule="auto"/>
              <w:jc w:val="center"/>
              <w:rPr>
                <w:rFonts w:ascii="新宋体" w:hAnsi="新宋体" w:eastAsia="新宋体"/>
              </w:rPr>
            </w:pPr>
            <w:r>
              <w:rPr>
                <w:rFonts w:hint="eastAsia" w:ascii="新宋体" w:hAnsi="新宋体" w:eastAsia="新宋体"/>
              </w:rPr>
              <w:t>6</w:t>
            </w:r>
          </w:p>
        </w:tc>
        <w:tc>
          <w:tcPr>
            <w:tcW w:w="8276" w:type="dxa"/>
            <w:vAlign w:val="center"/>
          </w:tcPr>
          <w:p>
            <w:pPr>
              <w:spacing w:line="360" w:lineRule="auto"/>
              <w:jc w:val="left"/>
              <w:rPr>
                <w:rFonts w:ascii="新宋体" w:hAnsi="新宋体" w:eastAsia="新宋体"/>
              </w:rPr>
            </w:pPr>
            <w:r>
              <w:rPr>
                <w:rFonts w:hint="eastAsia" w:ascii="新宋体" w:hAnsi="新宋体" w:eastAsia="新宋体"/>
                <w:color w:val="000000" w:themeColor="text1"/>
                <w:kern w:val="0"/>
                <w:szCs w:val="21"/>
                <w14:textFill>
                  <w14:solidFill>
                    <w14:schemeClr w14:val="tx1"/>
                  </w14:solidFill>
                </w14:textFill>
              </w:rPr>
              <w:t>免费保修期外，</w:t>
            </w:r>
            <w:r>
              <w:rPr>
                <w:rFonts w:hint="eastAsia" w:ascii="新宋体" w:hAnsi="新宋体" w:eastAsia="新宋体"/>
                <w:color w:val="000000" w:themeColor="text1"/>
                <w:kern w:val="0"/>
                <w:szCs w:val="21"/>
                <w:lang w:eastAsia="zh-Hans"/>
                <w14:textFill>
                  <w14:solidFill>
                    <w14:schemeClr w14:val="tx1"/>
                  </w14:solidFill>
                </w14:textFill>
              </w:rPr>
              <w:t>提供远程技术支持服务，对工具使用和报告分析结果进行解答</w:t>
            </w:r>
            <w:r>
              <w:rPr>
                <w:rFonts w:hint="eastAsia" w:ascii="新宋体" w:hAnsi="新宋体" w:eastAsia="新宋体"/>
                <w:color w:val="000000" w:themeColor="text1"/>
                <w:kern w:val="0"/>
                <w:szCs w:val="21"/>
                <w14:textFill>
                  <w14:solidFill>
                    <w14:schemeClr w14:val="tx1"/>
                  </w14:solidFill>
                </w14:textFill>
              </w:rPr>
              <w:t>。提供承诺函</w:t>
            </w:r>
            <w:r>
              <w:rPr>
                <w:rFonts w:hint="eastAsia" w:ascii="新宋体" w:hAnsi="新宋体" w:eastAsia="新宋体"/>
                <w:bCs/>
                <w:color w:val="000000" w:themeColor="text1"/>
                <w:szCs w:val="21"/>
                <w14:textFill>
                  <w14:solidFill>
                    <w14:schemeClr w14:val="tx1"/>
                  </w14:solidFill>
                </w14:textFill>
              </w:rPr>
              <w:t>（格式自拟）</w:t>
            </w:r>
            <w:r>
              <w:rPr>
                <w:rFonts w:hint="eastAsia" w:ascii="新宋体" w:hAnsi="新宋体" w:eastAsia="新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pacing w:line="360" w:lineRule="auto"/>
              <w:jc w:val="center"/>
              <w:rPr>
                <w:rFonts w:ascii="新宋体" w:hAnsi="新宋体" w:eastAsia="新宋体"/>
              </w:rPr>
            </w:pPr>
            <w:r>
              <w:rPr>
                <w:rFonts w:hint="eastAsia" w:ascii="新宋体" w:hAnsi="新宋体" w:eastAsia="新宋体"/>
              </w:rPr>
              <w:t>7</w:t>
            </w:r>
          </w:p>
        </w:tc>
        <w:tc>
          <w:tcPr>
            <w:tcW w:w="8276" w:type="dxa"/>
            <w:vAlign w:val="center"/>
          </w:tcPr>
          <w:p>
            <w:pPr>
              <w:spacing w:line="360" w:lineRule="auto"/>
              <w:jc w:val="left"/>
              <w:rPr>
                <w:rFonts w:ascii="新宋体" w:hAnsi="新宋体" w:eastAsia="新宋体"/>
              </w:rPr>
            </w:pPr>
            <w:r>
              <w:rPr>
                <w:rFonts w:hint="eastAsia" w:ascii="新宋体" w:hAnsi="新宋体" w:eastAsia="新宋体"/>
                <w:color w:val="000000" w:themeColor="text1"/>
                <w:kern w:val="0"/>
                <w:szCs w:val="21"/>
                <w14:textFill>
                  <w14:solidFill>
                    <w14:schemeClr w14:val="tx1"/>
                  </w14:solidFill>
                </w14:textFill>
              </w:rPr>
              <w:t>按照合同条款、保密协议格式签订合同、保密协议，按照安全服务承诺书格式签订安全服务承诺书。</w:t>
            </w:r>
          </w:p>
        </w:tc>
      </w:tr>
    </w:tbl>
    <w:p>
      <w:pPr>
        <w:spacing w:line="360" w:lineRule="auto"/>
        <w:rPr>
          <w:rFonts w:ascii="新宋体" w:hAnsi="新宋体" w:eastAsia="新宋体"/>
          <w:b/>
          <w:szCs w:val="21"/>
        </w:rPr>
      </w:pPr>
      <w:r>
        <w:rPr>
          <w:rFonts w:hint="eastAsia" w:ascii="新宋体" w:hAnsi="新宋体" w:eastAsia="新宋体"/>
          <w:b/>
          <w:szCs w:val="21"/>
        </w:rPr>
        <w:t>注：上表所列内容为不可负偏离条款</w:t>
      </w:r>
      <w:bookmarkEnd w:id="1"/>
    </w:p>
    <w:p>
      <w:pPr>
        <w:rPr>
          <w:b/>
          <w:szCs w:val="21"/>
        </w:rPr>
      </w:pPr>
    </w:p>
    <w:p>
      <w:pPr>
        <w:pStyle w:val="3"/>
        <w:jc w:val="left"/>
        <w:rPr>
          <w:rFonts w:ascii="新宋体" w:hAnsi="新宋体" w:eastAsia="新宋体"/>
          <w:kern w:val="44"/>
          <w:sz w:val="30"/>
          <w:szCs w:val="30"/>
        </w:rPr>
      </w:pPr>
      <w:r>
        <w:rPr>
          <w:rFonts w:hint="eastAsia" w:ascii="新宋体" w:hAnsi="新宋体" w:eastAsia="新宋体"/>
          <w:kern w:val="44"/>
          <w:sz w:val="30"/>
          <w:szCs w:val="30"/>
        </w:rPr>
        <w:t>四、具体技术要求</w:t>
      </w:r>
    </w:p>
    <w:p>
      <w:pPr>
        <w:spacing w:line="276" w:lineRule="auto"/>
        <w:rPr>
          <w:rFonts w:ascii="新宋体" w:hAnsi="新宋体" w:eastAsia="新宋体"/>
          <w:b/>
        </w:rPr>
      </w:pPr>
      <w:r>
        <w:rPr>
          <w:rFonts w:hint="eastAsia" w:ascii="新宋体" w:hAnsi="新宋体" w:eastAsia="新宋体"/>
          <w:b/>
        </w:rPr>
        <w:t>说明：1、带“</w:t>
      </w:r>
      <w:r>
        <w:rPr>
          <w:rFonts w:hint="eastAsia" w:ascii="新宋体" w:hAnsi="新宋体" w:eastAsia="新宋体" w:cs="宋体"/>
          <w:b/>
        </w:rPr>
        <w:t>★</w:t>
      </w:r>
      <w:r>
        <w:rPr>
          <w:rFonts w:hint="eastAsia" w:ascii="新宋体" w:hAnsi="新宋体" w:eastAsia="新宋体"/>
          <w:b/>
        </w:rPr>
        <w:t>”指标项为实质性条款，如出现负偏离，将被视为未实质性满足招标文件要求作投标无效处理。带“</w:t>
      </w:r>
      <w:r>
        <w:rPr>
          <w:rFonts w:ascii="新宋体" w:hAnsi="新宋体" w:eastAsia="新宋体"/>
          <w:b/>
        </w:rPr>
        <w:t>▲</w:t>
      </w:r>
      <w:r>
        <w:rPr>
          <w:rFonts w:hint="eastAsia" w:ascii="新宋体" w:hAnsi="新宋体" w:eastAsia="新宋体"/>
          <w:b/>
        </w:rPr>
        <w:t xml:space="preserve">”指标项为重要参数，负偏离时依相关评分准则内容作重点扣分处理。 </w:t>
      </w:r>
    </w:p>
    <w:p>
      <w:pPr>
        <w:spacing w:line="276" w:lineRule="auto"/>
        <w:rPr>
          <w:rFonts w:ascii="新宋体" w:hAnsi="新宋体" w:eastAsia="新宋体"/>
          <w:b/>
        </w:rPr>
      </w:pPr>
      <w:r>
        <w:rPr>
          <w:rFonts w:hint="eastAsia" w:ascii="新宋体" w:hAnsi="新宋体" w:eastAsia="新宋体"/>
          <w:b/>
        </w:rPr>
        <w:t>2、招标技术要求中，用红色加粗字体标注的技术条款为要求提供证明资料的条款，共</w:t>
      </w:r>
      <w:r>
        <w:rPr>
          <w:rFonts w:ascii="新宋体" w:hAnsi="新宋体" w:eastAsia="新宋体"/>
          <w:b/>
        </w:rPr>
        <w:t>9</w:t>
      </w:r>
      <w:r>
        <w:rPr>
          <w:rFonts w:hint="eastAsia" w:ascii="新宋体" w:hAnsi="新宋体" w:eastAsia="新宋体"/>
          <w:b/>
        </w:rPr>
        <w:t>项，需提供具有国家级第三方检测机构或者国家部委主管单位检测机构的检测报告，要求提供报告扫描件（原件备查）作为得分依据；其余为未要求提供证明资料的条款，无需提供相关证明资料。</w:t>
      </w:r>
    </w:p>
    <w:p>
      <w:pPr>
        <w:spacing w:line="276" w:lineRule="auto"/>
        <w:rPr>
          <w:b/>
          <w:szCs w:val="21"/>
        </w:rPr>
      </w:pPr>
      <w:r>
        <w:rPr>
          <w:rFonts w:hint="eastAsia" w:ascii="新宋体" w:hAnsi="新宋体" w:eastAsia="新宋体"/>
          <w:b/>
        </w:rPr>
        <w:t>3、评分时，如对一项招标技术要求（以划分框为准）中的内容存在两处（或以上）负偏离的，在评分时只作一项负偏离扣分。</w:t>
      </w:r>
    </w:p>
    <w:tbl>
      <w:tblPr>
        <w:tblStyle w:val="8"/>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09"/>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704" w:type="dxa"/>
            <w:vAlign w:val="center"/>
          </w:tcPr>
          <w:p>
            <w:pPr>
              <w:spacing w:line="276" w:lineRule="auto"/>
              <w:jc w:val="center"/>
              <w:rPr>
                <w:rFonts w:ascii="新宋体" w:hAnsi="新宋体" w:eastAsia="新宋体"/>
                <w:szCs w:val="21"/>
              </w:rPr>
            </w:pPr>
            <w:r>
              <w:rPr>
                <w:rFonts w:hint="eastAsia" w:ascii="新宋体" w:hAnsi="新宋体" w:eastAsia="新宋体"/>
                <w:szCs w:val="21"/>
              </w:rPr>
              <w:t>序号</w:t>
            </w:r>
          </w:p>
        </w:tc>
        <w:tc>
          <w:tcPr>
            <w:tcW w:w="1134" w:type="dxa"/>
            <w:vAlign w:val="center"/>
          </w:tcPr>
          <w:p>
            <w:pPr>
              <w:widowControl/>
              <w:spacing w:line="276" w:lineRule="auto"/>
              <w:jc w:val="center"/>
              <w:rPr>
                <w:rFonts w:ascii="新宋体" w:hAnsi="新宋体" w:eastAsia="新宋体"/>
                <w:szCs w:val="21"/>
              </w:rPr>
            </w:pPr>
            <w:r>
              <w:rPr>
                <w:rFonts w:hint="eastAsia" w:ascii="新宋体" w:hAnsi="新宋体" w:eastAsia="新宋体"/>
                <w:szCs w:val="21"/>
              </w:rPr>
              <w:t>货物名称</w:t>
            </w:r>
          </w:p>
        </w:tc>
        <w:tc>
          <w:tcPr>
            <w:tcW w:w="709" w:type="dxa"/>
            <w:vAlign w:val="center"/>
          </w:tcPr>
          <w:p>
            <w:pPr>
              <w:widowControl/>
              <w:spacing w:line="276" w:lineRule="auto"/>
              <w:jc w:val="center"/>
              <w:rPr>
                <w:rFonts w:ascii="新宋体" w:hAnsi="新宋体" w:eastAsia="新宋体"/>
                <w:szCs w:val="21"/>
                <w:lang w:eastAsia="zh-Hans"/>
              </w:rPr>
            </w:pPr>
            <w:r>
              <w:rPr>
                <w:rFonts w:hint="eastAsia" w:ascii="新宋体" w:hAnsi="新宋体" w:eastAsia="新宋体"/>
                <w:szCs w:val="21"/>
                <w:lang w:eastAsia="zh-Hans"/>
              </w:rPr>
              <w:t>分类</w:t>
            </w:r>
          </w:p>
        </w:tc>
        <w:tc>
          <w:tcPr>
            <w:tcW w:w="6541" w:type="dxa"/>
            <w:vAlign w:val="center"/>
          </w:tcPr>
          <w:p>
            <w:pPr>
              <w:spacing w:line="276" w:lineRule="auto"/>
              <w:jc w:val="center"/>
              <w:rPr>
                <w:rFonts w:ascii="新宋体" w:hAnsi="新宋体" w:eastAsia="新宋体"/>
                <w:szCs w:val="21"/>
              </w:rPr>
            </w:pPr>
            <w:r>
              <w:rPr>
                <w:rFonts w:hint="eastAsia" w:ascii="新宋体" w:hAnsi="新宋体" w:eastAsia="新宋体"/>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04" w:type="dxa"/>
            <w:vMerge w:val="restart"/>
            <w:vAlign w:val="center"/>
          </w:tcPr>
          <w:p>
            <w:pPr>
              <w:spacing w:line="276" w:lineRule="auto"/>
              <w:jc w:val="center"/>
              <w:rPr>
                <w:rFonts w:ascii="新宋体" w:hAnsi="新宋体" w:eastAsia="新宋体"/>
                <w:b/>
                <w:szCs w:val="21"/>
              </w:rPr>
            </w:pPr>
            <w:r>
              <w:rPr>
                <w:rFonts w:hint="eastAsia" w:ascii="新宋体" w:hAnsi="新宋体" w:eastAsia="新宋体"/>
                <w:b/>
                <w:szCs w:val="21"/>
              </w:rPr>
              <w:t>1</w:t>
            </w:r>
          </w:p>
        </w:tc>
        <w:tc>
          <w:tcPr>
            <w:tcW w:w="1134" w:type="dxa"/>
            <w:vMerge w:val="restart"/>
            <w:vAlign w:val="center"/>
          </w:tcPr>
          <w:p>
            <w:pPr>
              <w:spacing w:line="276" w:lineRule="auto"/>
              <w:jc w:val="center"/>
              <w:rPr>
                <w:rFonts w:ascii="新宋体" w:hAnsi="新宋体" w:eastAsia="新宋体"/>
                <w:b/>
                <w:szCs w:val="21"/>
              </w:rPr>
            </w:pPr>
            <w:r>
              <w:rPr>
                <w:rFonts w:hint="eastAsia" w:ascii="新宋体" w:hAnsi="新宋体" w:eastAsia="新宋体"/>
                <w:bCs/>
                <w:szCs w:val="21"/>
                <w:lang w:eastAsia="zh-Hans"/>
              </w:rPr>
              <w:t>移动应用安全检测</w:t>
            </w:r>
            <w:r>
              <w:rPr>
                <w:rFonts w:hint="eastAsia" w:ascii="新宋体" w:hAnsi="新宋体" w:eastAsia="新宋体"/>
                <w:bCs/>
                <w:szCs w:val="21"/>
              </w:rPr>
              <w:t>设备</w:t>
            </w:r>
          </w:p>
        </w:tc>
        <w:tc>
          <w:tcPr>
            <w:tcW w:w="709" w:type="dxa"/>
            <w:vMerge w:val="restart"/>
            <w:vAlign w:val="center"/>
          </w:tcPr>
          <w:p>
            <w:pPr>
              <w:spacing w:line="276" w:lineRule="auto"/>
              <w:jc w:val="center"/>
              <w:rPr>
                <w:rFonts w:ascii="新宋体" w:hAnsi="新宋体" w:eastAsia="新宋体"/>
                <w:bCs/>
                <w:szCs w:val="21"/>
                <w:lang w:eastAsia="zh-Hans"/>
              </w:rPr>
            </w:pPr>
            <w:r>
              <w:rPr>
                <w:rFonts w:hint="eastAsia" w:ascii="新宋体" w:hAnsi="新宋体" w:eastAsia="新宋体"/>
                <w:bCs/>
                <w:szCs w:val="21"/>
                <w:lang w:eastAsia="zh-Hans"/>
              </w:rPr>
              <w:t>基本要求</w:t>
            </w:r>
          </w:p>
        </w:tc>
        <w:tc>
          <w:tcPr>
            <w:tcW w:w="6541" w:type="dxa"/>
            <w:vAlign w:val="center"/>
          </w:tcPr>
          <w:p>
            <w:pPr>
              <w:spacing w:line="276" w:lineRule="auto"/>
              <w:rPr>
                <w:rFonts w:ascii="新宋体" w:hAnsi="新宋体" w:eastAsia="新宋体"/>
                <w:bCs/>
                <w:szCs w:val="21"/>
                <w:lang w:eastAsia="zh-Hans"/>
              </w:rPr>
            </w:pPr>
            <w:r>
              <w:rPr>
                <w:rFonts w:ascii="新宋体" w:hAnsi="新宋体" w:eastAsia="新宋体"/>
                <w:bCs/>
                <w:szCs w:val="21"/>
                <w:lang w:eastAsia="zh-Hans"/>
              </w:rPr>
              <w:t xml:space="preserve">1.1 </w:t>
            </w:r>
            <w:r>
              <w:rPr>
                <w:rFonts w:hint="eastAsia" w:ascii="新宋体" w:hAnsi="新宋体" w:eastAsia="新宋体"/>
                <w:bCs/>
                <w:szCs w:val="21"/>
                <w:lang w:eastAsia="zh-Hans"/>
              </w:rPr>
              <w:t>系统综述</w:t>
            </w:r>
            <w:r>
              <w:rPr>
                <w:rFonts w:ascii="新宋体" w:hAnsi="新宋体" w:eastAsia="新宋体"/>
                <w:bCs/>
                <w:szCs w:val="21"/>
                <w:lang w:eastAsia="zh-Hans"/>
              </w:rPr>
              <w:t>:</w:t>
            </w:r>
            <w:r>
              <w:rPr>
                <w:rFonts w:hint="eastAsia" w:ascii="新宋体" w:hAnsi="新宋体" w:eastAsia="新宋体"/>
                <w:bCs/>
                <w:szCs w:val="21"/>
                <w:lang w:eastAsia="zh-Hans"/>
              </w:rPr>
              <w:t>移动应用安全检测</w:t>
            </w:r>
            <w:r>
              <w:rPr>
                <w:rFonts w:hint="eastAsia" w:ascii="新宋体" w:hAnsi="新宋体" w:eastAsia="新宋体"/>
                <w:bCs/>
                <w:szCs w:val="21"/>
              </w:rPr>
              <w:t>设备</w:t>
            </w:r>
            <w:r>
              <w:rPr>
                <w:rFonts w:hint="eastAsia" w:ascii="新宋体" w:hAnsi="新宋体" w:eastAsia="新宋体"/>
                <w:bCs/>
                <w:szCs w:val="21"/>
                <w:lang w:eastAsia="zh-Hans"/>
              </w:rPr>
              <w:t>集成安全漏洞模块和</w:t>
            </w:r>
            <w:r>
              <w:rPr>
                <w:rFonts w:hint="eastAsia" w:ascii="新宋体" w:hAnsi="新宋体" w:eastAsia="新宋体"/>
                <w:szCs w:val="21"/>
              </w:rPr>
              <w:t>个人信息安全影响评估</w:t>
            </w:r>
            <w:r>
              <w:rPr>
                <w:rFonts w:hint="eastAsia" w:ascii="新宋体" w:hAnsi="新宋体" w:eastAsia="新宋体"/>
                <w:bCs/>
                <w:szCs w:val="21"/>
                <w:lang w:eastAsia="zh-Hans"/>
              </w:rPr>
              <w:t>模块，任务提交和结果查看可在统一平台完成，模块也可独立使用。安全漏洞模块支持覆盖移动应用的客户端自身安全、业务动态安全、通讯链路安全、服务器端安全，能出具安全检测报告；个人信息安全影响</w:t>
            </w:r>
            <w:r>
              <w:rPr>
                <w:rFonts w:hint="eastAsia" w:ascii="新宋体" w:hAnsi="新宋体" w:eastAsia="新宋体"/>
                <w:bCs/>
                <w:szCs w:val="21"/>
              </w:rPr>
              <w:t>评估</w:t>
            </w:r>
            <w:r>
              <w:rPr>
                <w:rFonts w:hint="eastAsia" w:ascii="新宋体" w:hAnsi="新宋体" w:eastAsia="新宋体"/>
                <w:bCs/>
                <w:szCs w:val="21"/>
                <w:lang w:eastAsia="zh-Hans"/>
              </w:rPr>
              <w:t>模块支持</w:t>
            </w:r>
            <w:r>
              <w:rPr>
                <w:rFonts w:ascii="新宋体" w:hAnsi="新宋体" w:eastAsia="新宋体"/>
                <w:bCs/>
                <w:szCs w:val="21"/>
                <w:lang w:eastAsia="zh-Hans"/>
              </w:rPr>
              <w:t>App</w:t>
            </w:r>
            <w:r>
              <w:rPr>
                <w:rFonts w:hint="eastAsia" w:ascii="新宋体" w:hAnsi="新宋体" w:eastAsia="新宋体"/>
                <w:bCs/>
                <w:szCs w:val="21"/>
                <w:lang w:eastAsia="zh-Hans"/>
              </w:rPr>
              <w:t>违法违规、个人信息安全、</w:t>
            </w:r>
            <w:r>
              <w:rPr>
                <w:rFonts w:ascii="新宋体" w:hAnsi="新宋体" w:eastAsia="新宋体"/>
                <w:bCs/>
                <w:szCs w:val="21"/>
                <w:lang w:eastAsia="zh-Hans"/>
              </w:rPr>
              <w:t>SDK</w:t>
            </w:r>
            <w:r>
              <w:rPr>
                <w:rFonts w:hint="eastAsia" w:ascii="新宋体" w:hAnsi="新宋体" w:eastAsia="新宋体"/>
                <w:bCs/>
                <w:szCs w:val="21"/>
                <w:lang w:eastAsia="zh-Hans"/>
              </w:rPr>
              <w:t>安全、合规项目的自动化检测，全自动化快速识别</w:t>
            </w:r>
            <w:r>
              <w:rPr>
                <w:rFonts w:ascii="新宋体" w:hAnsi="新宋体" w:eastAsia="新宋体"/>
                <w:bCs/>
                <w:szCs w:val="21"/>
                <w:lang w:eastAsia="zh-Hans"/>
              </w:rPr>
              <w:t>App</w:t>
            </w:r>
            <w:r>
              <w:rPr>
                <w:rFonts w:hint="eastAsia" w:ascii="新宋体" w:hAnsi="新宋体" w:eastAsia="新宋体"/>
                <w:bCs/>
                <w:szCs w:val="21"/>
                <w:lang w:eastAsia="zh-Hans"/>
              </w:rPr>
              <w:t>潜在的安全风险包括个人信息窃取、个人信息出境等。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Cs/>
                <w:szCs w:val="21"/>
                <w:lang w:eastAsia="zh-Hans"/>
              </w:rPr>
            </w:pPr>
          </w:p>
        </w:tc>
        <w:tc>
          <w:tcPr>
            <w:tcW w:w="709" w:type="dxa"/>
            <w:vMerge w:val="continue"/>
            <w:vAlign w:val="center"/>
          </w:tcPr>
          <w:p>
            <w:pPr>
              <w:spacing w:line="276" w:lineRule="auto"/>
              <w:jc w:val="center"/>
              <w:rPr>
                <w:rFonts w:ascii="新宋体" w:hAnsi="新宋体" w:eastAsia="新宋体"/>
                <w:bCs/>
                <w:szCs w:val="21"/>
                <w:lang w:eastAsia="zh-Hans"/>
              </w:rPr>
            </w:pPr>
          </w:p>
        </w:tc>
        <w:tc>
          <w:tcPr>
            <w:tcW w:w="6541" w:type="dxa"/>
            <w:vAlign w:val="center"/>
          </w:tcPr>
          <w:p>
            <w:pPr>
              <w:spacing w:line="276" w:lineRule="auto"/>
              <w:rPr>
                <w:rFonts w:ascii="新宋体" w:hAnsi="新宋体" w:eastAsia="新宋体"/>
                <w:szCs w:val="21"/>
                <w:lang w:eastAsia="zh-Hans"/>
              </w:rPr>
            </w:pPr>
            <w:r>
              <w:rPr>
                <w:rFonts w:ascii="新宋体" w:hAnsi="新宋体" w:eastAsia="新宋体"/>
                <w:bCs/>
                <w:szCs w:val="21"/>
                <w:lang w:eastAsia="zh-Hans"/>
              </w:rPr>
              <w:t xml:space="preserve">1.2 </w:t>
            </w:r>
            <w:r>
              <w:rPr>
                <w:rFonts w:hint="eastAsia" w:ascii="新宋体" w:hAnsi="新宋体" w:eastAsia="新宋体"/>
                <w:bCs/>
                <w:szCs w:val="21"/>
                <w:lang w:eastAsia="zh-Hans"/>
              </w:rPr>
              <w:t>系统具有公安部颁发的销售许可证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Cs/>
                <w:szCs w:val="21"/>
                <w:lang w:eastAsia="zh-Hans"/>
              </w:rPr>
            </w:pPr>
          </w:p>
        </w:tc>
        <w:tc>
          <w:tcPr>
            <w:tcW w:w="709" w:type="dxa"/>
            <w:vMerge w:val="continue"/>
            <w:vAlign w:val="center"/>
          </w:tcPr>
          <w:p>
            <w:pPr>
              <w:spacing w:line="276" w:lineRule="auto"/>
              <w:jc w:val="center"/>
              <w:rPr>
                <w:rFonts w:ascii="新宋体" w:hAnsi="新宋体" w:eastAsia="新宋体"/>
                <w:bCs/>
                <w:szCs w:val="21"/>
                <w:lang w:eastAsia="zh-Hans"/>
              </w:rPr>
            </w:pPr>
          </w:p>
        </w:tc>
        <w:tc>
          <w:tcPr>
            <w:tcW w:w="6541" w:type="dxa"/>
            <w:vAlign w:val="center"/>
          </w:tcPr>
          <w:p>
            <w:pPr>
              <w:spacing w:line="276" w:lineRule="auto"/>
              <w:rPr>
                <w:rFonts w:ascii="新宋体" w:hAnsi="新宋体" w:eastAsia="新宋体"/>
                <w:szCs w:val="21"/>
                <w:lang w:eastAsia="zh-Hans"/>
              </w:rPr>
            </w:pPr>
            <w:r>
              <w:rPr>
                <w:rFonts w:ascii="新宋体" w:hAnsi="新宋体" w:eastAsia="新宋体"/>
                <w:szCs w:val="21"/>
                <w:lang w:eastAsia="zh-Hans"/>
              </w:rPr>
              <w:t>1.3</w:t>
            </w:r>
            <w:r>
              <w:rPr>
                <w:rFonts w:hint="eastAsia" w:ascii="新宋体" w:hAnsi="新宋体" w:eastAsia="新宋体"/>
                <w:szCs w:val="21"/>
                <w:lang w:eastAsia="zh-Hans"/>
              </w:rPr>
              <w:t>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restart"/>
            <w:vAlign w:val="center"/>
          </w:tcPr>
          <w:p>
            <w:pPr>
              <w:spacing w:line="276" w:lineRule="auto"/>
              <w:jc w:val="center"/>
              <w:rPr>
                <w:rFonts w:ascii="新宋体" w:hAnsi="新宋体" w:eastAsia="新宋体"/>
                <w:bCs/>
                <w:szCs w:val="21"/>
                <w:lang w:eastAsia="zh-Hans"/>
              </w:rPr>
            </w:pPr>
            <w:r>
              <w:rPr>
                <w:rFonts w:hint="eastAsia" w:ascii="新宋体" w:hAnsi="新宋体" w:eastAsia="新宋体"/>
                <w:bCs/>
                <w:szCs w:val="21"/>
                <w:lang w:eastAsia="zh-Hans"/>
              </w:rPr>
              <w:t>安全漏洞</w:t>
            </w:r>
          </w:p>
        </w:tc>
        <w:tc>
          <w:tcPr>
            <w:tcW w:w="6541" w:type="dxa"/>
            <w:vAlign w:val="center"/>
          </w:tcPr>
          <w:p>
            <w:pPr>
              <w:spacing w:line="276" w:lineRule="auto"/>
              <w:rPr>
                <w:rFonts w:ascii="新宋体" w:hAnsi="新宋体" w:eastAsia="新宋体"/>
                <w:b/>
                <w:color w:val="auto"/>
                <w:szCs w:val="21"/>
                <w:lang w:eastAsia="zh-Hans"/>
              </w:rPr>
            </w:pPr>
            <w:r>
              <w:rPr>
                <w:rFonts w:hint="eastAsia" w:ascii="新宋体" w:hAnsi="新宋体" w:eastAsia="新宋体"/>
                <w:b/>
                <w:color w:val="auto"/>
                <w:szCs w:val="21"/>
                <w:lang w:eastAsia="zh-Hans"/>
              </w:rPr>
              <w:t>▲</w:t>
            </w:r>
            <w:r>
              <w:rPr>
                <w:rFonts w:ascii="新宋体" w:hAnsi="新宋体" w:eastAsia="新宋体"/>
                <w:b/>
                <w:color w:val="auto"/>
                <w:szCs w:val="21"/>
                <w:lang w:eastAsia="zh-Hans"/>
              </w:rPr>
              <w:t xml:space="preserve">2.1 </w:t>
            </w:r>
            <w:r>
              <w:rPr>
                <w:rFonts w:hint="eastAsia" w:ascii="新宋体" w:hAnsi="新宋体" w:eastAsia="新宋体"/>
                <w:b/>
                <w:color w:val="auto"/>
                <w:szCs w:val="21"/>
                <w:lang w:eastAsia="zh-Hans"/>
              </w:rPr>
              <w:t>测试应用：单台系统同时支持</w:t>
            </w:r>
            <w:r>
              <w:rPr>
                <w:rFonts w:ascii="新宋体" w:hAnsi="新宋体" w:eastAsia="新宋体"/>
                <w:b/>
                <w:color w:val="auto"/>
                <w:szCs w:val="21"/>
                <w:lang w:eastAsia="zh-Hans"/>
              </w:rPr>
              <w:t>Android/iOS</w:t>
            </w:r>
            <w:r>
              <w:rPr>
                <w:rFonts w:hint="eastAsia" w:ascii="新宋体" w:hAnsi="新宋体" w:eastAsia="新宋体"/>
                <w:b/>
                <w:color w:val="auto"/>
                <w:szCs w:val="21"/>
                <w:lang w:eastAsia="zh-Hans"/>
              </w:rPr>
              <w:t>/鸿蒙应用和微信公众号、小程序的测试，以及</w:t>
            </w:r>
            <w:r>
              <w:rPr>
                <w:rFonts w:ascii="新宋体" w:hAnsi="新宋体" w:eastAsia="新宋体"/>
                <w:b/>
                <w:color w:val="auto"/>
                <w:szCs w:val="21"/>
                <w:lang w:eastAsia="zh-Hans"/>
              </w:rPr>
              <w:t>WEB</w:t>
            </w:r>
            <w:r>
              <w:rPr>
                <w:rFonts w:hint="eastAsia" w:ascii="新宋体" w:hAnsi="新宋体" w:eastAsia="新宋体"/>
                <w:b/>
                <w:color w:val="auto"/>
                <w:szCs w:val="21"/>
                <w:lang w:eastAsia="zh-Hans"/>
              </w:rPr>
              <w:t>主动和</w:t>
            </w:r>
            <w:r>
              <w:rPr>
                <w:rFonts w:ascii="新宋体" w:hAnsi="新宋体" w:eastAsia="新宋体"/>
                <w:b/>
                <w:color w:val="auto"/>
                <w:szCs w:val="21"/>
                <w:lang w:eastAsia="zh-Hans"/>
              </w:rPr>
              <w:t>WEB</w:t>
            </w:r>
            <w:r>
              <w:rPr>
                <w:rFonts w:hint="eastAsia" w:ascii="新宋体" w:hAnsi="新宋体" w:eastAsia="新宋体"/>
                <w:b/>
                <w:color w:val="auto"/>
                <w:szCs w:val="21"/>
                <w:lang w:eastAsia="zh-Hans"/>
              </w:rPr>
              <w:t>被动测试。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b/>
                <w:color w:val="auto"/>
                <w:szCs w:val="21"/>
                <w:lang w:eastAsia="zh-Hans"/>
              </w:rPr>
            </w:pPr>
            <w:r>
              <w:rPr>
                <w:rFonts w:hint="eastAsia" w:ascii="新宋体" w:hAnsi="新宋体" w:eastAsia="新宋体"/>
                <w:b/>
                <w:color w:val="auto"/>
                <w:szCs w:val="21"/>
                <w:lang w:eastAsia="zh-Hans"/>
              </w:rPr>
              <w:t>▲</w:t>
            </w:r>
            <w:r>
              <w:rPr>
                <w:rFonts w:ascii="新宋体" w:hAnsi="新宋体" w:eastAsia="新宋体"/>
                <w:b/>
                <w:color w:val="auto"/>
                <w:szCs w:val="21"/>
                <w:lang w:eastAsia="zh-Hans"/>
              </w:rPr>
              <w:t>2.</w:t>
            </w:r>
            <w:r>
              <w:rPr>
                <w:rFonts w:hint="eastAsia" w:ascii="新宋体" w:hAnsi="新宋体" w:eastAsia="新宋体"/>
                <w:b/>
                <w:color w:val="auto"/>
                <w:szCs w:val="21"/>
              </w:rPr>
              <w:t>2</w:t>
            </w:r>
            <w:r>
              <w:rPr>
                <w:rFonts w:hint="eastAsia" w:ascii="新宋体" w:hAnsi="新宋体" w:eastAsia="新宋体"/>
                <w:b/>
                <w:color w:val="auto"/>
                <w:szCs w:val="21"/>
                <w:lang w:eastAsia="zh-Hans"/>
              </w:rPr>
              <w:t>测试范围：检测覆盖客户端自身安全、业务动态安全、通讯链路安全、服务器端安全。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keepNext w:val="0"/>
              <w:keepLines w:val="0"/>
              <w:pageBreakBefore w:val="0"/>
              <w:widowControl w:val="0"/>
              <w:kinsoku/>
              <w:wordWrap w:val="0"/>
              <w:overflowPunct/>
              <w:topLinePunct w:val="0"/>
              <w:autoSpaceDE/>
              <w:autoSpaceDN/>
              <w:bidi w:val="0"/>
              <w:adjustRightInd/>
              <w:snapToGrid/>
              <w:spacing w:line="276" w:lineRule="auto"/>
              <w:textAlignment w:val="auto"/>
              <w:rPr>
                <w:rFonts w:ascii="新宋体" w:hAnsi="新宋体" w:eastAsia="新宋体"/>
                <w:bCs/>
                <w:color w:val="auto"/>
                <w:szCs w:val="21"/>
                <w:lang w:eastAsia="zh-Hans"/>
              </w:rPr>
            </w:pPr>
            <w:r>
              <w:rPr>
                <w:rFonts w:ascii="新宋体" w:hAnsi="新宋体" w:eastAsia="新宋体"/>
                <w:bCs/>
                <w:color w:val="auto"/>
                <w:szCs w:val="21"/>
                <w:lang w:eastAsia="zh-Hans"/>
              </w:rPr>
              <w:t>2.</w:t>
            </w:r>
            <w:r>
              <w:rPr>
                <w:rFonts w:hint="eastAsia" w:ascii="新宋体" w:hAnsi="新宋体" w:eastAsia="新宋体"/>
                <w:bCs/>
                <w:color w:val="auto"/>
                <w:szCs w:val="21"/>
                <w:lang w:eastAsia="zh-Hans"/>
              </w:rPr>
              <w:t>3测试报告：支持自动导出报告，报告格式至少包括</w:t>
            </w:r>
            <w:r>
              <w:rPr>
                <w:rFonts w:ascii="新宋体" w:hAnsi="新宋体" w:eastAsia="新宋体"/>
                <w:bCs/>
                <w:color w:val="auto"/>
                <w:szCs w:val="21"/>
                <w:lang w:eastAsia="zh-Hans"/>
              </w:rPr>
              <w:t>.doc</w:t>
            </w:r>
            <w:r>
              <w:rPr>
                <w:rFonts w:hint="eastAsia" w:ascii="新宋体" w:hAnsi="新宋体" w:eastAsia="新宋体"/>
                <w:bCs/>
                <w:color w:val="auto"/>
                <w:szCs w:val="21"/>
                <w:lang w:eastAsia="zh-Hans"/>
              </w:rPr>
              <w:t>、</w:t>
            </w:r>
            <w:r>
              <w:rPr>
                <w:rFonts w:ascii="新宋体" w:hAnsi="新宋体" w:eastAsia="新宋体"/>
                <w:bCs/>
                <w:color w:val="auto"/>
                <w:szCs w:val="21"/>
                <w:lang w:eastAsia="zh-Hans"/>
              </w:rPr>
              <w:t>.pdf</w:t>
            </w:r>
            <w:r>
              <w:rPr>
                <w:rFonts w:hint="eastAsia" w:ascii="新宋体" w:hAnsi="新宋体" w:eastAsia="新宋体"/>
                <w:bCs/>
                <w:color w:val="auto"/>
                <w:szCs w:val="21"/>
                <w:lang w:eastAsia="zh-Hans"/>
              </w:rPr>
              <w:t>、</w:t>
            </w:r>
            <w:r>
              <w:rPr>
                <w:rFonts w:ascii="新宋体" w:hAnsi="新宋体" w:eastAsia="新宋体"/>
                <w:bCs/>
                <w:color w:val="auto"/>
                <w:szCs w:val="21"/>
                <w:lang w:eastAsia="zh-Hans"/>
              </w:rPr>
              <w:t>.xml</w:t>
            </w:r>
            <w:r>
              <w:rPr>
                <w:rFonts w:hint="eastAsia" w:ascii="新宋体" w:hAnsi="新宋体" w:eastAsia="新宋体"/>
                <w:bCs/>
                <w:color w:val="auto"/>
                <w:szCs w:val="21"/>
                <w:lang w:eastAsia="zh-Hans"/>
              </w:rPr>
              <w:t>。报告内容至少包括所有检测项以及所发现问题的漏洞名称、风险内容、风险级别、检测详情、修复建议等。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bCs/>
                <w:color w:val="auto"/>
                <w:szCs w:val="21"/>
                <w:lang w:eastAsia="zh-Hans"/>
              </w:rPr>
            </w:pPr>
            <w:r>
              <w:rPr>
                <w:rFonts w:ascii="新宋体" w:hAnsi="新宋体" w:eastAsia="新宋体"/>
                <w:bCs/>
                <w:color w:val="auto"/>
                <w:szCs w:val="21"/>
                <w:lang w:eastAsia="zh-Hans"/>
              </w:rPr>
              <w:t>2.4</w:t>
            </w:r>
            <w:r>
              <w:rPr>
                <w:rFonts w:hint="eastAsia" w:ascii="新宋体" w:hAnsi="新宋体" w:eastAsia="新宋体"/>
                <w:bCs/>
                <w:color w:val="auto"/>
                <w:szCs w:val="21"/>
                <w:lang w:eastAsia="zh-Hans"/>
              </w:rPr>
              <w:t>规则库：系统应至少包含恶意代码规则库、恶意</w:t>
            </w:r>
            <w:r>
              <w:rPr>
                <w:rFonts w:ascii="新宋体" w:hAnsi="新宋体" w:eastAsia="新宋体"/>
                <w:bCs/>
                <w:color w:val="auto"/>
                <w:szCs w:val="21"/>
                <w:lang w:eastAsia="zh-Hans"/>
              </w:rPr>
              <w:t>URL</w:t>
            </w:r>
            <w:r>
              <w:rPr>
                <w:rFonts w:hint="eastAsia" w:ascii="新宋体" w:hAnsi="新宋体" w:eastAsia="新宋体"/>
                <w:bCs/>
                <w:color w:val="auto"/>
                <w:szCs w:val="21"/>
                <w:lang w:eastAsia="zh-Hans"/>
              </w:rPr>
              <w:t>规则、恶意行为规则库、主机漏洞规则库、应用漏洞规则库。必须要在五个工作日内将业界最新发现的病毒和漏洞更新到检测工具的病毒库和规则库内。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bCs/>
                <w:color w:val="auto"/>
                <w:szCs w:val="21"/>
                <w:lang w:eastAsia="zh-Hans"/>
              </w:rPr>
            </w:pPr>
            <w:r>
              <w:rPr>
                <w:rFonts w:ascii="新宋体" w:hAnsi="新宋体" w:eastAsia="新宋体" w:cs="宋体"/>
                <w:color w:val="auto"/>
                <w:kern w:val="0"/>
                <w:szCs w:val="21"/>
              </w:rPr>
              <w:t>2.5</w:t>
            </w:r>
            <w:r>
              <w:rPr>
                <w:rFonts w:hint="eastAsia" w:ascii="新宋体" w:hAnsi="新宋体" w:eastAsia="新宋体" w:cs="宋体"/>
                <w:color w:val="auto"/>
                <w:kern w:val="0"/>
                <w:szCs w:val="21"/>
              </w:rPr>
              <w:t>移动应用安全检测工具扫描报告中漏洞名称及风险级别等须与国家信息安全漏洞库（C</w:t>
            </w:r>
            <w:r>
              <w:rPr>
                <w:rFonts w:ascii="新宋体" w:hAnsi="新宋体" w:eastAsia="新宋体" w:cs="宋体"/>
                <w:color w:val="auto"/>
                <w:kern w:val="0"/>
                <w:szCs w:val="21"/>
              </w:rPr>
              <w:t>NNVD</w:t>
            </w:r>
            <w:r>
              <w:rPr>
                <w:rFonts w:hint="eastAsia" w:ascii="新宋体" w:hAnsi="新宋体" w:eastAsia="新宋体" w:cs="宋体"/>
                <w:color w:val="auto"/>
                <w:kern w:val="0"/>
                <w:szCs w:val="21"/>
              </w:rPr>
              <w:t>）相兼容,</w:t>
            </w:r>
            <w:r>
              <w:rPr>
                <w:rFonts w:hint="eastAsia" w:ascii="新宋体" w:hAnsi="新宋体" w:eastAsia="新宋体"/>
                <w:bCs/>
                <w:color w:val="auto"/>
                <w:szCs w:val="21"/>
                <w:lang w:eastAsia="zh-Hans"/>
              </w:rPr>
              <w:t xml:space="preserve"> 具备国家信息安全漏洞库（</w:t>
            </w:r>
            <w:r>
              <w:rPr>
                <w:rFonts w:ascii="新宋体" w:hAnsi="新宋体" w:eastAsia="新宋体"/>
                <w:bCs/>
                <w:color w:val="auto"/>
                <w:szCs w:val="21"/>
                <w:lang w:eastAsia="zh-Hans"/>
              </w:rPr>
              <w:t>CNNVD</w:t>
            </w:r>
            <w:r>
              <w:rPr>
                <w:rFonts w:hint="eastAsia" w:ascii="新宋体" w:hAnsi="新宋体" w:eastAsia="新宋体"/>
                <w:bCs/>
                <w:color w:val="auto"/>
                <w:szCs w:val="21"/>
                <w:lang w:eastAsia="zh-Hans"/>
              </w:rPr>
              <w:t>）兼容性资质证书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b/>
                <w:color w:val="auto"/>
                <w:szCs w:val="21"/>
              </w:rPr>
            </w:pPr>
            <w:r>
              <w:rPr>
                <w:rFonts w:hint="eastAsia" w:ascii="新宋体" w:hAnsi="新宋体" w:eastAsia="新宋体"/>
                <w:b/>
                <w:color w:val="auto"/>
                <w:szCs w:val="21"/>
                <w:lang w:eastAsia="zh-Hans"/>
              </w:rPr>
              <w:t>▲</w:t>
            </w:r>
            <w:r>
              <w:rPr>
                <w:rFonts w:ascii="新宋体" w:hAnsi="新宋体" w:eastAsia="新宋体"/>
                <w:b/>
                <w:color w:val="auto"/>
                <w:szCs w:val="21"/>
                <w:lang w:eastAsia="zh-Hans"/>
              </w:rPr>
              <w:t>2.6</w:t>
            </w:r>
            <w:r>
              <w:rPr>
                <w:rFonts w:hint="eastAsia" w:ascii="新宋体" w:hAnsi="新宋体" w:eastAsia="新宋体"/>
                <w:b/>
                <w:color w:val="auto"/>
                <w:szCs w:val="21"/>
                <w:lang w:eastAsia="zh-Hans"/>
              </w:rPr>
              <w:t>自动脱壳：支持至少5种加固厂商</w:t>
            </w:r>
            <w:r>
              <w:rPr>
                <w:rFonts w:hint="eastAsia" w:ascii="新宋体" w:hAnsi="新宋体" w:eastAsia="新宋体"/>
                <w:b/>
                <w:color w:val="auto"/>
                <w:szCs w:val="21"/>
              </w:rPr>
              <w:t>（</w:t>
            </w:r>
            <w:r>
              <w:rPr>
                <w:rFonts w:hint="eastAsia" w:ascii="新宋体" w:hAnsi="新宋体" w:eastAsia="新宋体"/>
                <w:b/>
                <w:color w:val="auto"/>
                <w:szCs w:val="21"/>
                <w:lang w:eastAsia="zh-Hans"/>
              </w:rPr>
              <w:t>具有公安部移动APP加固产品销售许可的安全厂商</w:t>
            </w:r>
            <w:r>
              <w:rPr>
                <w:rFonts w:hint="eastAsia" w:ascii="新宋体" w:hAnsi="新宋体" w:eastAsia="新宋体"/>
                <w:b/>
                <w:color w:val="auto"/>
                <w:szCs w:val="21"/>
              </w:rPr>
              <w:t>）</w:t>
            </w:r>
            <w:r>
              <w:rPr>
                <w:rFonts w:hint="eastAsia" w:ascii="新宋体" w:hAnsi="新宋体" w:eastAsia="新宋体"/>
                <w:b/>
                <w:color w:val="auto"/>
                <w:szCs w:val="21"/>
                <w:lang w:eastAsia="zh-Hans"/>
              </w:rPr>
              <w:t>加固后APP的脱壳，解密还原加固前程序文件，支持脱壳包一键导出。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bCs/>
                <w:color w:val="auto"/>
                <w:szCs w:val="21"/>
              </w:rPr>
            </w:pPr>
            <w:r>
              <w:rPr>
                <w:rFonts w:ascii="新宋体" w:hAnsi="新宋体" w:eastAsia="新宋体"/>
                <w:bCs/>
                <w:color w:val="auto"/>
                <w:szCs w:val="21"/>
                <w:lang w:eastAsia="zh-Hans"/>
              </w:rPr>
              <w:t>2.7</w:t>
            </w:r>
            <w:r>
              <w:rPr>
                <w:rFonts w:hint="eastAsia" w:ascii="新宋体" w:hAnsi="新宋体" w:eastAsia="新宋体"/>
                <w:bCs/>
                <w:color w:val="auto"/>
                <w:szCs w:val="21"/>
                <w:lang w:eastAsia="zh-Hans"/>
              </w:rPr>
              <w:t>通用测试项：测试项目包括但不限于拒绝服务攻击风险，应用完整性检测，程序签名保护检测，应用二次打包风险，</w:t>
            </w:r>
            <w:r>
              <w:rPr>
                <w:rFonts w:ascii="新宋体" w:hAnsi="新宋体" w:eastAsia="新宋体"/>
                <w:bCs/>
                <w:color w:val="auto"/>
                <w:szCs w:val="21"/>
                <w:lang w:eastAsia="zh-Hans"/>
              </w:rPr>
              <w:t>Activity</w:t>
            </w:r>
            <w:r>
              <w:rPr>
                <w:rFonts w:hint="eastAsia" w:ascii="新宋体" w:hAnsi="新宋体" w:eastAsia="新宋体"/>
                <w:bCs/>
                <w:color w:val="auto"/>
                <w:szCs w:val="21"/>
                <w:lang w:eastAsia="zh-Hans"/>
              </w:rPr>
              <w:t>、</w:t>
            </w:r>
            <w:r>
              <w:rPr>
                <w:rFonts w:ascii="新宋体" w:hAnsi="新宋体" w:eastAsia="新宋体"/>
                <w:bCs/>
                <w:color w:val="auto"/>
                <w:szCs w:val="21"/>
                <w:lang w:eastAsia="zh-Hans"/>
              </w:rPr>
              <w:t>Service</w:t>
            </w:r>
            <w:r>
              <w:rPr>
                <w:rFonts w:hint="eastAsia" w:ascii="新宋体" w:hAnsi="新宋体" w:eastAsia="新宋体"/>
                <w:bCs/>
                <w:color w:val="auto"/>
                <w:szCs w:val="21"/>
                <w:lang w:eastAsia="zh-Hans"/>
              </w:rPr>
              <w:t>、</w:t>
            </w:r>
            <w:r>
              <w:rPr>
                <w:rFonts w:ascii="新宋体" w:hAnsi="新宋体" w:eastAsia="新宋体"/>
                <w:bCs/>
                <w:color w:val="auto"/>
                <w:szCs w:val="21"/>
                <w:lang w:eastAsia="zh-Hans"/>
              </w:rPr>
              <w:t>Content Provider</w:t>
            </w:r>
            <w:r>
              <w:rPr>
                <w:rFonts w:hint="eastAsia" w:ascii="新宋体" w:hAnsi="新宋体" w:eastAsia="新宋体"/>
                <w:bCs/>
                <w:color w:val="auto"/>
                <w:szCs w:val="21"/>
                <w:lang w:eastAsia="zh-Hans"/>
              </w:rPr>
              <w:t>、</w:t>
            </w:r>
            <w:r>
              <w:rPr>
                <w:rFonts w:ascii="新宋体" w:hAnsi="新宋体" w:eastAsia="新宋体"/>
                <w:bCs/>
                <w:color w:val="auto"/>
                <w:szCs w:val="21"/>
                <w:lang w:eastAsia="zh-Hans"/>
              </w:rPr>
              <w:t>Broadcast Receiver</w:t>
            </w:r>
            <w:r>
              <w:rPr>
                <w:rFonts w:hint="eastAsia" w:ascii="新宋体" w:hAnsi="新宋体" w:eastAsia="新宋体"/>
                <w:bCs/>
                <w:color w:val="auto"/>
                <w:szCs w:val="21"/>
                <w:lang w:eastAsia="zh-Hans"/>
              </w:rPr>
              <w:t>、</w:t>
            </w:r>
            <w:r>
              <w:rPr>
                <w:rFonts w:ascii="新宋体" w:hAnsi="新宋体" w:eastAsia="新宋体"/>
                <w:bCs/>
                <w:color w:val="auto"/>
                <w:szCs w:val="21"/>
                <w:lang w:eastAsia="zh-Hans"/>
              </w:rPr>
              <w:t>Intent</w:t>
            </w:r>
            <w:r>
              <w:rPr>
                <w:rFonts w:hint="eastAsia" w:ascii="新宋体" w:hAnsi="新宋体" w:eastAsia="新宋体"/>
                <w:bCs/>
                <w:color w:val="auto"/>
                <w:szCs w:val="21"/>
                <w:lang w:eastAsia="zh-Hans"/>
              </w:rPr>
              <w:t>等组件检测项。包括但不限于</w:t>
            </w:r>
            <w:r>
              <w:rPr>
                <w:rFonts w:ascii="新宋体" w:hAnsi="新宋体" w:eastAsia="新宋体"/>
                <w:bCs/>
                <w:color w:val="auto"/>
                <w:szCs w:val="21"/>
                <w:lang w:eastAsia="zh-Hans"/>
              </w:rPr>
              <w:t>Java</w:t>
            </w:r>
            <w:r>
              <w:rPr>
                <w:rFonts w:hint="eastAsia" w:ascii="新宋体" w:hAnsi="新宋体" w:eastAsia="新宋体"/>
                <w:bCs/>
                <w:color w:val="auto"/>
                <w:szCs w:val="21"/>
                <w:lang w:eastAsia="zh-Hans"/>
              </w:rPr>
              <w:t>代码动态调试风险，动态注入攻击风险等检测项。包括但不限于</w:t>
            </w:r>
            <w:r>
              <w:rPr>
                <w:rFonts w:ascii="新宋体" w:hAnsi="新宋体" w:eastAsia="新宋体"/>
                <w:bCs/>
                <w:color w:val="auto"/>
                <w:szCs w:val="21"/>
                <w:lang w:eastAsia="zh-Hans"/>
              </w:rPr>
              <w:t>Webview</w:t>
            </w:r>
            <w:r>
              <w:rPr>
                <w:rFonts w:hint="eastAsia" w:ascii="新宋体" w:hAnsi="新宋体" w:eastAsia="新宋体"/>
                <w:bCs/>
                <w:color w:val="auto"/>
                <w:szCs w:val="21"/>
                <w:lang w:eastAsia="zh-Hans"/>
              </w:rPr>
              <w:t>明文存储密码漏洞，</w:t>
            </w:r>
            <w:r>
              <w:rPr>
                <w:rFonts w:ascii="新宋体" w:hAnsi="新宋体" w:eastAsia="新宋体"/>
                <w:bCs/>
                <w:color w:val="auto"/>
                <w:szCs w:val="21"/>
                <w:lang w:eastAsia="zh-Hans"/>
              </w:rPr>
              <w:t>WebView</w:t>
            </w:r>
            <w:r>
              <w:rPr>
                <w:rFonts w:hint="eastAsia" w:ascii="新宋体" w:hAnsi="新宋体" w:eastAsia="新宋体"/>
                <w:bCs/>
                <w:color w:val="auto"/>
                <w:szCs w:val="21"/>
                <w:lang w:eastAsia="zh-Hans"/>
              </w:rPr>
              <w:t>远程代码执行漏洞，</w:t>
            </w:r>
            <w:r>
              <w:rPr>
                <w:rFonts w:ascii="新宋体" w:hAnsi="新宋体" w:eastAsia="新宋体"/>
                <w:bCs/>
                <w:color w:val="auto"/>
                <w:szCs w:val="21"/>
                <w:lang w:eastAsia="zh-Hans"/>
              </w:rPr>
              <w:t>WebView</w:t>
            </w:r>
            <w:r>
              <w:rPr>
                <w:rFonts w:hint="eastAsia" w:ascii="新宋体" w:hAnsi="新宋体" w:eastAsia="新宋体"/>
                <w:bCs/>
                <w:color w:val="auto"/>
                <w:szCs w:val="21"/>
                <w:lang w:eastAsia="zh-Hans"/>
              </w:rPr>
              <w:t>组件忽略</w:t>
            </w:r>
            <w:r>
              <w:rPr>
                <w:rFonts w:ascii="新宋体" w:hAnsi="新宋体" w:eastAsia="新宋体"/>
                <w:bCs/>
                <w:color w:val="auto"/>
                <w:szCs w:val="21"/>
                <w:lang w:eastAsia="zh-Hans"/>
              </w:rPr>
              <w:t>SSL</w:t>
            </w:r>
            <w:r>
              <w:rPr>
                <w:rFonts w:hint="eastAsia" w:ascii="新宋体" w:hAnsi="新宋体" w:eastAsia="新宋体"/>
                <w:bCs/>
                <w:color w:val="auto"/>
                <w:szCs w:val="21"/>
                <w:lang w:eastAsia="zh-Hans"/>
              </w:rPr>
              <w:t>证书验证错误漏洞，数据库注入漏洞等检测。包括但不限于内存</w:t>
            </w:r>
            <w:r>
              <w:rPr>
                <w:rFonts w:ascii="新宋体" w:hAnsi="新宋体" w:eastAsia="新宋体"/>
                <w:bCs/>
                <w:color w:val="auto"/>
                <w:szCs w:val="21"/>
                <w:lang w:eastAsia="zh-Hans"/>
              </w:rPr>
              <w:t>Dump</w:t>
            </w:r>
            <w:r>
              <w:rPr>
                <w:rFonts w:hint="eastAsia" w:ascii="新宋体" w:hAnsi="新宋体" w:eastAsia="新宋体"/>
                <w:bCs/>
                <w:color w:val="auto"/>
                <w:szCs w:val="21"/>
                <w:lang w:eastAsia="zh-Hans"/>
              </w:rPr>
              <w:t>风险，</w:t>
            </w:r>
            <w:r>
              <w:rPr>
                <w:rFonts w:ascii="新宋体" w:hAnsi="新宋体" w:eastAsia="新宋体"/>
                <w:bCs/>
                <w:color w:val="auto"/>
                <w:szCs w:val="21"/>
                <w:lang w:eastAsia="zh-Hans"/>
              </w:rPr>
              <w:t>RSA</w:t>
            </w:r>
            <w:r>
              <w:rPr>
                <w:rFonts w:hint="eastAsia" w:ascii="新宋体" w:hAnsi="新宋体" w:eastAsia="新宋体"/>
                <w:bCs/>
                <w:color w:val="auto"/>
                <w:szCs w:val="21"/>
                <w:lang w:eastAsia="zh-Hans"/>
              </w:rPr>
              <w:t>加密算法使用不当风险，密钥硬编码漏洞，动态注册</w:t>
            </w:r>
            <w:r>
              <w:rPr>
                <w:rFonts w:ascii="新宋体" w:hAnsi="新宋体" w:eastAsia="新宋体"/>
                <w:bCs/>
                <w:color w:val="auto"/>
                <w:szCs w:val="21"/>
                <w:lang w:eastAsia="zh-Hans"/>
              </w:rPr>
              <w:t>Receiver</w:t>
            </w:r>
            <w:r>
              <w:rPr>
                <w:rFonts w:hint="eastAsia" w:ascii="新宋体" w:hAnsi="新宋体" w:eastAsia="新宋体"/>
                <w:bCs/>
                <w:color w:val="auto"/>
                <w:szCs w:val="21"/>
                <w:lang w:eastAsia="zh-Hans"/>
              </w:rPr>
              <w:t>风险等检测；包括但不限于系统键盘使用风险，关键界面劫持风险，</w:t>
            </w:r>
            <w:r>
              <w:rPr>
                <w:rFonts w:ascii="新宋体" w:hAnsi="新宋体" w:eastAsia="新宋体"/>
                <w:bCs/>
                <w:color w:val="auto"/>
                <w:szCs w:val="21"/>
                <w:lang w:eastAsia="zh-Hans"/>
              </w:rPr>
              <w:t>SSL</w:t>
            </w:r>
            <w:r>
              <w:rPr>
                <w:rFonts w:hint="eastAsia" w:ascii="新宋体" w:hAnsi="新宋体" w:eastAsia="新宋体"/>
                <w:bCs/>
                <w:color w:val="auto"/>
                <w:szCs w:val="21"/>
                <w:lang w:eastAsia="zh-Hans"/>
              </w:rPr>
              <w:t>证书有效性风险，</w:t>
            </w:r>
            <w:r>
              <w:rPr>
                <w:rFonts w:ascii="新宋体" w:hAnsi="新宋体" w:eastAsia="新宋体"/>
                <w:bCs/>
                <w:color w:val="auto"/>
                <w:szCs w:val="21"/>
                <w:lang w:eastAsia="zh-Hans"/>
              </w:rPr>
              <w:t>HTTP</w:t>
            </w:r>
            <w:r>
              <w:rPr>
                <w:rFonts w:hint="eastAsia" w:ascii="新宋体" w:hAnsi="新宋体" w:eastAsia="新宋体"/>
                <w:bCs/>
                <w:color w:val="auto"/>
                <w:szCs w:val="21"/>
                <w:lang w:eastAsia="zh-Hans"/>
              </w:rPr>
              <w:t>传输通道风险等检测。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color w:val="auto"/>
                <w:szCs w:val="21"/>
              </w:rPr>
            </w:pPr>
            <w:r>
              <w:rPr>
                <w:rFonts w:hint="eastAsia" w:ascii="新宋体" w:hAnsi="新宋体" w:eastAsia="新宋体"/>
                <w:color w:val="auto"/>
                <w:szCs w:val="21"/>
              </w:rPr>
              <w:t>▲</w:t>
            </w:r>
            <w:r>
              <w:rPr>
                <w:rFonts w:ascii="新宋体" w:hAnsi="新宋体" w:eastAsia="新宋体"/>
                <w:color w:val="auto"/>
                <w:szCs w:val="21"/>
                <w:lang w:eastAsia="zh-Hans"/>
              </w:rPr>
              <w:t>2.8</w:t>
            </w:r>
            <w:r>
              <w:rPr>
                <w:rFonts w:hint="eastAsia" w:ascii="新宋体" w:hAnsi="新宋体" w:eastAsia="新宋体"/>
                <w:b/>
                <w:bCs/>
                <w:color w:val="auto"/>
                <w:szCs w:val="21"/>
                <w:lang w:eastAsia="zh-Hans"/>
              </w:rPr>
              <w:t>图形验证码：可对被测</w:t>
            </w:r>
            <w:r>
              <w:rPr>
                <w:rFonts w:ascii="新宋体" w:hAnsi="新宋体" w:eastAsia="新宋体"/>
                <w:b/>
                <w:bCs/>
                <w:color w:val="auto"/>
                <w:szCs w:val="21"/>
                <w:lang w:eastAsia="zh-Hans"/>
              </w:rPr>
              <w:t xml:space="preserve"> APP </w:t>
            </w:r>
            <w:r>
              <w:rPr>
                <w:rFonts w:hint="eastAsia" w:ascii="新宋体" w:hAnsi="新宋体" w:eastAsia="新宋体"/>
                <w:b/>
                <w:bCs/>
                <w:color w:val="auto"/>
                <w:szCs w:val="21"/>
                <w:lang w:eastAsia="zh-Hans"/>
              </w:rPr>
              <w:t>的身份鉴别图形验证码进行截图并上传后台服务器自动识别。可人工参与图像验证码标记，系统后台自动比对分析输出图形验证码安全分析结果。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bCs/>
                <w:color w:val="auto"/>
                <w:szCs w:val="21"/>
              </w:rPr>
            </w:pPr>
            <w:r>
              <w:rPr>
                <w:rFonts w:hint="eastAsia" w:ascii="新宋体" w:hAnsi="新宋体" w:eastAsia="新宋体"/>
                <w:b/>
                <w:bCs/>
                <w:color w:val="auto"/>
                <w:szCs w:val="21"/>
              </w:rPr>
              <w:t>▲</w:t>
            </w:r>
            <w:r>
              <w:rPr>
                <w:rFonts w:ascii="新宋体" w:hAnsi="新宋体" w:eastAsia="新宋体"/>
                <w:b/>
                <w:bCs/>
                <w:color w:val="auto"/>
                <w:szCs w:val="21"/>
              </w:rPr>
              <w:t xml:space="preserve">2.9 </w:t>
            </w:r>
            <w:r>
              <w:rPr>
                <w:rFonts w:hint="eastAsia" w:ascii="新宋体" w:hAnsi="新宋体" w:eastAsia="新宋体"/>
                <w:b/>
                <w:color w:val="auto"/>
                <w:szCs w:val="21"/>
                <w:lang w:eastAsia="zh-Hans"/>
              </w:rPr>
              <w:t>API漏洞检测：支持对应用服务端进行检测，包括但不限于：SQL注入检测；XSS漏洞；CSRF漏洞；文件漏洞、后门检测等。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restart"/>
            <w:vAlign w:val="center"/>
          </w:tcPr>
          <w:p>
            <w:pPr>
              <w:spacing w:line="276" w:lineRule="auto"/>
              <w:jc w:val="center"/>
              <w:rPr>
                <w:rFonts w:ascii="新宋体" w:hAnsi="新宋体" w:eastAsia="新宋体"/>
                <w:bCs/>
                <w:szCs w:val="21"/>
                <w:lang w:eastAsia="zh-Hans"/>
              </w:rPr>
            </w:pPr>
            <w:r>
              <w:rPr>
                <w:rFonts w:hint="eastAsia" w:ascii="新宋体" w:hAnsi="新宋体" w:eastAsia="新宋体"/>
                <w:szCs w:val="21"/>
              </w:rPr>
              <w:t>个人信息安全影响评估</w:t>
            </w:r>
          </w:p>
        </w:tc>
        <w:tc>
          <w:tcPr>
            <w:tcW w:w="6541" w:type="dxa"/>
            <w:vAlign w:val="center"/>
          </w:tcPr>
          <w:p>
            <w:pPr>
              <w:spacing w:line="276" w:lineRule="auto"/>
              <w:rPr>
                <w:rFonts w:ascii="新宋体" w:hAnsi="新宋体" w:eastAsia="新宋体"/>
                <w:color w:val="auto"/>
                <w:szCs w:val="21"/>
              </w:rPr>
            </w:pPr>
            <w:r>
              <w:rPr>
                <w:rFonts w:ascii="新宋体" w:hAnsi="新宋体" w:eastAsia="新宋体"/>
                <w:color w:val="auto"/>
                <w:szCs w:val="21"/>
              </w:rPr>
              <w:t>3.1</w:t>
            </w:r>
            <w:r>
              <w:rPr>
                <w:rFonts w:hint="eastAsia" w:ascii="新宋体" w:hAnsi="新宋体" w:eastAsia="新宋体"/>
                <w:color w:val="auto"/>
                <w:szCs w:val="21"/>
                <w:lang w:eastAsia="zh-Hans"/>
              </w:rPr>
              <w:t>检测内容：</w:t>
            </w:r>
            <w:r>
              <w:rPr>
                <w:rFonts w:hint="eastAsia" w:ascii="新宋体" w:hAnsi="新宋体" w:eastAsia="新宋体"/>
                <w:color w:val="auto"/>
                <w:szCs w:val="21"/>
                <w:lang w:bidi="ar"/>
              </w:rPr>
              <w:t>支持</w:t>
            </w:r>
            <w:r>
              <w:rPr>
                <w:rFonts w:ascii="新宋体" w:hAnsi="新宋体" w:eastAsia="新宋体"/>
                <w:color w:val="auto"/>
                <w:szCs w:val="21"/>
                <w:lang w:bidi="ar"/>
              </w:rPr>
              <w:t>App</w:t>
            </w:r>
            <w:r>
              <w:rPr>
                <w:rFonts w:hint="eastAsia" w:ascii="新宋体" w:hAnsi="新宋体" w:eastAsia="新宋体"/>
                <w:color w:val="auto"/>
                <w:szCs w:val="21"/>
                <w:lang w:bidi="ar"/>
              </w:rPr>
              <w:t>基本信息分析、应用类型识别、恶意程序检测、违规内容检测、</w:t>
            </w:r>
            <w:r>
              <w:rPr>
                <w:rFonts w:ascii="新宋体" w:hAnsi="新宋体" w:eastAsia="新宋体"/>
                <w:color w:val="auto"/>
                <w:szCs w:val="21"/>
                <w:lang w:bidi="ar"/>
              </w:rPr>
              <w:t>SDK</w:t>
            </w:r>
            <w:r>
              <w:rPr>
                <w:rFonts w:hint="eastAsia" w:ascii="新宋体" w:hAnsi="新宋体" w:eastAsia="新宋体"/>
                <w:color w:val="auto"/>
                <w:szCs w:val="21"/>
                <w:lang w:bidi="ar"/>
              </w:rPr>
              <w:t>安全、隐私合规、敏感行为、网络流量的自动化检测</w:t>
            </w:r>
            <w:r>
              <w:rPr>
                <w:rFonts w:hint="eastAsia" w:ascii="新宋体" w:hAnsi="新宋体" w:eastAsia="新宋体"/>
                <w:color w:val="auto"/>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color w:val="auto"/>
                <w:szCs w:val="21"/>
              </w:rPr>
            </w:pPr>
            <w:r>
              <w:rPr>
                <w:rFonts w:ascii="新宋体" w:hAnsi="新宋体" w:eastAsia="新宋体"/>
                <w:bCs/>
                <w:color w:val="auto"/>
                <w:szCs w:val="21"/>
              </w:rPr>
              <w:t>3</w:t>
            </w:r>
            <w:r>
              <w:rPr>
                <w:rFonts w:hint="eastAsia" w:ascii="新宋体" w:hAnsi="新宋体" w:eastAsia="新宋体"/>
                <w:bCs/>
                <w:color w:val="auto"/>
                <w:szCs w:val="21"/>
                <w:lang w:eastAsia="zh-Hans"/>
              </w:rPr>
              <w:t>.</w:t>
            </w:r>
            <w:r>
              <w:rPr>
                <w:rFonts w:ascii="新宋体" w:hAnsi="新宋体" w:eastAsia="新宋体"/>
                <w:bCs/>
                <w:color w:val="auto"/>
                <w:szCs w:val="21"/>
                <w:lang w:eastAsia="zh-Hans"/>
              </w:rPr>
              <w:t>2</w:t>
            </w:r>
            <w:r>
              <w:rPr>
                <w:rFonts w:hint="eastAsia" w:ascii="新宋体" w:hAnsi="新宋体" w:eastAsia="新宋体"/>
                <w:bCs/>
                <w:color w:val="auto"/>
                <w:szCs w:val="21"/>
              </w:rPr>
              <w:t>通用</w:t>
            </w:r>
            <w:r>
              <w:rPr>
                <w:rFonts w:hint="eastAsia" w:ascii="新宋体" w:hAnsi="新宋体" w:eastAsia="新宋体"/>
                <w:bCs/>
                <w:color w:val="auto"/>
                <w:szCs w:val="21"/>
                <w:lang w:eastAsia="zh-Hans"/>
              </w:rPr>
              <w:t>分析项：根据《信息安全技术 个人信息安全规范（GB/T 35273</w:t>
            </w:r>
            <w:r>
              <w:rPr>
                <w:rFonts w:ascii="新宋体" w:hAnsi="新宋体" w:eastAsia="新宋体"/>
                <w:bCs/>
                <w:color w:val="auto"/>
                <w:szCs w:val="21"/>
                <w:lang w:eastAsia="zh-Hans"/>
              </w:rPr>
              <w:t>-</w:t>
            </w:r>
            <w:r>
              <w:rPr>
                <w:rFonts w:hint="eastAsia" w:ascii="新宋体" w:hAnsi="新宋体" w:eastAsia="新宋体"/>
                <w:bCs/>
                <w:color w:val="auto"/>
                <w:szCs w:val="21"/>
                <w:lang w:eastAsia="zh-Hans"/>
              </w:rPr>
              <w:t>2020）》和《App违法违规收集使用个人信息行为认定方法（国信办秘字〔2019〕191号）》</w:t>
            </w:r>
            <w:r>
              <w:rPr>
                <w:rFonts w:hint="eastAsia" w:ascii="新宋体" w:hAnsi="新宋体" w:eastAsia="新宋体"/>
                <w:bCs/>
                <w:color w:val="auto"/>
                <w:szCs w:val="21"/>
              </w:rPr>
              <w:t>，分析类别包括违规收集使用个人信息行为分析，</w:t>
            </w:r>
            <w:r>
              <w:rPr>
                <w:rFonts w:ascii="新宋体" w:hAnsi="新宋体" w:eastAsia="新宋体"/>
                <w:bCs/>
                <w:color w:val="auto"/>
                <w:szCs w:val="21"/>
              </w:rPr>
              <w:t>App</w:t>
            </w:r>
            <w:r>
              <w:rPr>
                <w:rFonts w:hint="eastAsia" w:ascii="新宋体" w:hAnsi="新宋体" w:eastAsia="新宋体"/>
                <w:bCs/>
                <w:color w:val="auto"/>
                <w:szCs w:val="21"/>
              </w:rPr>
              <w:t>权限使用检查，</w:t>
            </w:r>
            <w:r>
              <w:rPr>
                <w:rFonts w:ascii="新宋体" w:hAnsi="新宋体" w:eastAsia="新宋体"/>
                <w:bCs/>
                <w:color w:val="auto"/>
                <w:szCs w:val="21"/>
              </w:rPr>
              <w:t>App</w:t>
            </w:r>
            <w:r>
              <w:rPr>
                <w:rFonts w:hint="eastAsia" w:ascii="新宋体" w:hAnsi="新宋体" w:eastAsia="新宋体"/>
                <w:bCs/>
                <w:color w:val="auto"/>
                <w:szCs w:val="21"/>
              </w:rPr>
              <w:t>敏感行为分析，未公开收集使用规则，未明示收集目的方式和范围、违规收集个人信息、违规使用个人信息，违反必要原则，超范围收集个人信息，设置障碍、频繁骚扰用户，欺骗误导用户，删除、更正个人信息难等分类，持个人信息安全项目支持不低于</w:t>
            </w:r>
            <w:r>
              <w:rPr>
                <w:rFonts w:ascii="新宋体" w:hAnsi="新宋体" w:eastAsia="新宋体"/>
                <w:bCs/>
                <w:color w:val="auto"/>
                <w:szCs w:val="21"/>
              </w:rPr>
              <w:t>114</w:t>
            </w:r>
            <w:r>
              <w:rPr>
                <w:rFonts w:hint="eastAsia" w:ascii="新宋体" w:hAnsi="新宋体" w:eastAsia="新宋体"/>
                <w:bCs/>
                <w:color w:val="auto"/>
                <w:szCs w:val="21"/>
              </w:rPr>
              <w:t>项</w:t>
            </w:r>
            <w:r>
              <w:rPr>
                <w:rFonts w:hint="eastAsia" w:ascii="新宋体" w:hAnsi="新宋体" w:eastAsia="新宋体"/>
                <w:bCs/>
                <w:color w:val="auto"/>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bCs/>
                <w:color w:val="auto"/>
                <w:szCs w:val="21"/>
              </w:rPr>
            </w:pPr>
            <w:r>
              <w:rPr>
                <w:rFonts w:ascii="新宋体" w:hAnsi="新宋体" w:eastAsia="新宋体"/>
                <w:bCs/>
                <w:color w:val="auto"/>
                <w:szCs w:val="21"/>
                <w:lang w:eastAsia="zh-Hans"/>
              </w:rPr>
              <w:t>3.</w:t>
            </w:r>
            <w:r>
              <w:rPr>
                <w:rFonts w:hint="eastAsia" w:ascii="新宋体" w:hAnsi="新宋体" w:eastAsia="新宋体"/>
                <w:bCs/>
                <w:color w:val="auto"/>
                <w:szCs w:val="21"/>
              </w:rPr>
              <w:t>3加密数据导入</w:t>
            </w:r>
            <w:r>
              <w:rPr>
                <w:rFonts w:ascii="新宋体" w:hAnsi="新宋体" w:eastAsia="新宋体"/>
                <w:bCs/>
                <w:color w:val="auto"/>
                <w:szCs w:val="21"/>
                <w:lang w:eastAsia="zh-Hans"/>
              </w:rPr>
              <w:t>：</w:t>
            </w:r>
            <w:r>
              <w:rPr>
                <w:rFonts w:ascii="新宋体" w:hAnsi="新宋体" w:eastAsia="新宋体"/>
                <w:bCs/>
                <w:color w:val="auto"/>
                <w:szCs w:val="21"/>
              </w:rPr>
              <w:t>支持自定义配置压缩包密码功能，可对导入重要数据压缩密码进行定制配置。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bCs/>
                <w:color w:val="auto"/>
                <w:szCs w:val="21"/>
              </w:rPr>
            </w:pPr>
            <w:r>
              <w:rPr>
                <w:rFonts w:ascii="新宋体" w:hAnsi="新宋体" w:eastAsia="新宋体"/>
                <w:bCs/>
                <w:color w:val="auto"/>
                <w:szCs w:val="21"/>
              </w:rPr>
              <w:t>3.</w:t>
            </w:r>
            <w:r>
              <w:rPr>
                <w:rFonts w:hint="eastAsia" w:ascii="新宋体" w:hAnsi="新宋体" w:eastAsia="新宋体"/>
                <w:bCs/>
                <w:color w:val="auto"/>
                <w:szCs w:val="21"/>
              </w:rPr>
              <w:t>4支持任务结果对比功能，选择隐藏相同项目、高亮显示差异项目。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bCs/>
                <w:color w:val="auto"/>
                <w:szCs w:val="21"/>
              </w:rPr>
            </w:pPr>
            <w:r>
              <w:rPr>
                <w:rFonts w:ascii="新宋体" w:hAnsi="新宋体" w:eastAsia="新宋体"/>
                <w:bCs/>
                <w:color w:val="auto"/>
                <w:szCs w:val="21"/>
              </w:rPr>
              <w:t>3.</w:t>
            </w:r>
            <w:r>
              <w:rPr>
                <w:rFonts w:hint="eastAsia" w:ascii="新宋体" w:hAnsi="新宋体" w:eastAsia="新宋体"/>
                <w:bCs/>
                <w:color w:val="auto"/>
                <w:szCs w:val="21"/>
              </w:rPr>
              <w:t>5</w:t>
            </w:r>
            <w:r>
              <w:rPr>
                <w:rFonts w:hint="eastAsia" w:ascii="新宋体" w:hAnsi="新宋体" w:eastAsia="新宋体"/>
                <w:bCs/>
                <w:color w:val="auto"/>
                <w:szCs w:val="21"/>
                <w:lang w:eastAsia="zh-Hans"/>
              </w:rPr>
              <w:t>任务管理：</w:t>
            </w:r>
            <w:r>
              <w:rPr>
                <w:rFonts w:hint="eastAsia" w:ascii="新宋体" w:hAnsi="新宋体" w:eastAsia="新宋体"/>
                <w:bCs/>
                <w:color w:val="auto"/>
                <w:szCs w:val="21"/>
              </w:rPr>
              <w:t>支持对任务暂停操作便于停止测试，支持对子任务（静态分析、动态分析、数据分析等）手动重启和手动完成操作，满足针对模块重测和跳过的需求。</w:t>
            </w:r>
            <w:r>
              <w:rPr>
                <w:rFonts w:hint="eastAsia" w:ascii="新宋体" w:hAnsi="新宋体" w:eastAsia="新宋体"/>
                <w:bCs/>
                <w:color w:val="auto"/>
                <w:szCs w:val="21"/>
                <w:lang w:eastAsia="zh-Hans"/>
              </w:rPr>
              <w:t>检测过程支持自动、半自动、手动测试模式。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bCs/>
                <w:color w:val="auto"/>
                <w:szCs w:val="21"/>
              </w:rPr>
            </w:pPr>
            <w:r>
              <w:rPr>
                <w:rFonts w:ascii="新宋体" w:hAnsi="新宋体" w:eastAsia="新宋体"/>
                <w:bCs/>
                <w:color w:val="auto"/>
                <w:szCs w:val="21"/>
                <w:lang w:eastAsia="zh-Hans"/>
              </w:rPr>
              <w:t>3.</w:t>
            </w:r>
            <w:r>
              <w:rPr>
                <w:rFonts w:hint="eastAsia" w:ascii="新宋体" w:hAnsi="新宋体" w:eastAsia="新宋体"/>
                <w:bCs/>
                <w:color w:val="auto"/>
                <w:szCs w:val="21"/>
              </w:rPr>
              <w:t>6</w:t>
            </w:r>
            <w:r>
              <w:rPr>
                <w:rFonts w:hint="eastAsia" w:ascii="新宋体" w:hAnsi="新宋体" w:eastAsia="新宋体"/>
                <w:bCs/>
                <w:color w:val="auto"/>
                <w:szCs w:val="21"/>
                <w:lang w:eastAsia="zh-Hans"/>
              </w:rPr>
              <w:t>结果过滤：</w:t>
            </w:r>
            <w:r>
              <w:rPr>
                <w:rFonts w:hint="eastAsia" w:ascii="新宋体" w:hAnsi="新宋体" w:eastAsia="新宋体"/>
                <w:bCs/>
                <w:color w:val="auto"/>
                <w:szCs w:val="21"/>
              </w:rPr>
              <w:t>支持对分析结果的过滤规则配置，支持域名、</w:t>
            </w:r>
            <w:r>
              <w:rPr>
                <w:rFonts w:ascii="新宋体" w:hAnsi="新宋体" w:eastAsia="新宋体"/>
                <w:bCs/>
                <w:color w:val="auto"/>
                <w:szCs w:val="21"/>
              </w:rPr>
              <w:t>sdk</w:t>
            </w:r>
            <w:r>
              <w:rPr>
                <w:rFonts w:hint="eastAsia" w:ascii="新宋体" w:hAnsi="新宋体" w:eastAsia="新宋体"/>
                <w:bCs/>
                <w:color w:val="auto"/>
                <w:szCs w:val="21"/>
              </w:rPr>
              <w:t>、关键词等进行过滤，支持单个任务过滤规则，支持全局过滤规则。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bCs/>
                <w:color w:val="auto"/>
                <w:szCs w:val="21"/>
              </w:rPr>
            </w:pPr>
            <w:r>
              <w:rPr>
                <w:rFonts w:ascii="新宋体" w:hAnsi="新宋体" w:eastAsia="新宋体"/>
                <w:bCs/>
                <w:color w:val="auto"/>
                <w:szCs w:val="21"/>
              </w:rPr>
              <w:t>3.</w:t>
            </w:r>
            <w:r>
              <w:rPr>
                <w:rFonts w:hint="eastAsia" w:ascii="新宋体" w:hAnsi="新宋体" w:eastAsia="新宋体"/>
                <w:bCs/>
                <w:color w:val="auto"/>
                <w:szCs w:val="21"/>
              </w:rPr>
              <w:t>7系统</w:t>
            </w:r>
            <w:r>
              <w:rPr>
                <w:rFonts w:hint="eastAsia" w:ascii="新宋体" w:hAnsi="新宋体" w:eastAsia="新宋体"/>
                <w:bCs/>
                <w:color w:val="auto"/>
                <w:szCs w:val="21"/>
                <w:lang w:eastAsia="zh-Hans"/>
              </w:rPr>
              <w:t>管理</w:t>
            </w:r>
            <w:r>
              <w:rPr>
                <w:rFonts w:ascii="新宋体" w:hAnsi="新宋体" w:eastAsia="新宋体"/>
                <w:bCs/>
                <w:color w:val="auto"/>
                <w:szCs w:val="21"/>
                <w:lang w:eastAsia="zh-Hans"/>
              </w:rPr>
              <w:t>:</w:t>
            </w:r>
            <w:r>
              <w:rPr>
                <w:rFonts w:ascii="新宋体" w:hAnsi="新宋体" w:eastAsia="新宋体"/>
                <w:bCs/>
                <w:color w:val="auto"/>
                <w:szCs w:val="21"/>
              </w:rPr>
              <w:t>a)</w:t>
            </w:r>
            <w:r>
              <w:rPr>
                <w:rFonts w:hint="eastAsia" w:ascii="新宋体" w:hAnsi="新宋体" w:eastAsia="新宋体"/>
                <w:bCs/>
                <w:color w:val="auto"/>
                <w:szCs w:val="21"/>
              </w:rPr>
              <w:t>测试终端管理：支持对接入测试终端的管理，支持对测试终端的认证，测试终端支持</w:t>
            </w:r>
            <w:r>
              <w:rPr>
                <w:rFonts w:ascii="新宋体" w:hAnsi="新宋体" w:eastAsia="新宋体"/>
                <w:bCs/>
                <w:color w:val="auto"/>
                <w:szCs w:val="21"/>
              </w:rPr>
              <w:t>web</w:t>
            </w:r>
            <w:r>
              <w:rPr>
                <w:rFonts w:hint="eastAsia" w:ascii="新宋体" w:hAnsi="新宋体" w:eastAsia="新宋体"/>
                <w:bCs/>
                <w:color w:val="auto"/>
                <w:szCs w:val="21"/>
              </w:rPr>
              <w:t>远程操作。</w:t>
            </w:r>
          </w:p>
          <w:p>
            <w:pPr>
              <w:spacing w:line="276" w:lineRule="auto"/>
              <w:rPr>
                <w:rFonts w:ascii="新宋体" w:hAnsi="新宋体" w:eastAsia="新宋体"/>
                <w:bCs/>
                <w:color w:val="auto"/>
                <w:szCs w:val="21"/>
              </w:rPr>
            </w:pPr>
            <w:r>
              <w:rPr>
                <w:rFonts w:ascii="新宋体" w:hAnsi="新宋体" w:eastAsia="新宋体"/>
                <w:bCs/>
                <w:color w:val="auto"/>
                <w:szCs w:val="21"/>
              </w:rPr>
              <w:t>b)</w:t>
            </w:r>
            <w:r>
              <w:rPr>
                <w:rFonts w:hint="eastAsia" w:ascii="新宋体" w:hAnsi="新宋体" w:eastAsia="新宋体"/>
                <w:bCs/>
                <w:color w:val="auto"/>
                <w:szCs w:val="21"/>
              </w:rPr>
              <w:t>知识库管理：支持对个人信息检测知识库进行调整。</w:t>
            </w:r>
          </w:p>
          <w:p>
            <w:pPr>
              <w:spacing w:line="276" w:lineRule="auto"/>
              <w:rPr>
                <w:rFonts w:ascii="新宋体" w:hAnsi="新宋体" w:eastAsia="新宋体"/>
                <w:bCs/>
                <w:color w:val="auto"/>
                <w:szCs w:val="21"/>
              </w:rPr>
            </w:pPr>
            <w:r>
              <w:rPr>
                <w:rFonts w:ascii="新宋体" w:hAnsi="新宋体" w:eastAsia="新宋体"/>
                <w:bCs/>
                <w:color w:val="auto"/>
                <w:szCs w:val="21"/>
              </w:rPr>
              <w:t>c)</w:t>
            </w:r>
            <w:r>
              <w:rPr>
                <w:rFonts w:hint="eastAsia" w:ascii="新宋体" w:hAnsi="新宋体" w:eastAsia="新宋体"/>
                <w:bCs/>
                <w:color w:val="auto"/>
                <w:szCs w:val="21"/>
              </w:rPr>
              <w:t>网络配置：模块支持独立部署，支持</w:t>
            </w:r>
            <w:r>
              <w:rPr>
                <w:rFonts w:ascii="新宋体" w:hAnsi="新宋体" w:eastAsia="新宋体"/>
                <w:bCs/>
                <w:color w:val="auto"/>
                <w:szCs w:val="21"/>
              </w:rPr>
              <w:t>usb</w:t>
            </w:r>
            <w:r>
              <w:rPr>
                <w:rFonts w:hint="eastAsia" w:ascii="新宋体" w:hAnsi="新宋体" w:eastAsia="新宋体"/>
                <w:bCs/>
                <w:color w:val="auto"/>
                <w:szCs w:val="21"/>
              </w:rPr>
              <w:t>网络共享、</w:t>
            </w:r>
            <w:r>
              <w:rPr>
                <w:rFonts w:ascii="新宋体" w:hAnsi="新宋体" w:eastAsia="新宋体"/>
                <w:bCs/>
                <w:color w:val="auto"/>
                <w:szCs w:val="21"/>
              </w:rPr>
              <w:t>wifi</w:t>
            </w:r>
            <w:r>
              <w:rPr>
                <w:rFonts w:hint="eastAsia" w:ascii="新宋体" w:hAnsi="新宋体" w:eastAsia="新宋体"/>
                <w:bCs/>
                <w:color w:val="auto"/>
                <w:szCs w:val="21"/>
              </w:rPr>
              <w:t>和有线三种部署模式。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bCs/>
                <w:color w:val="auto"/>
                <w:szCs w:val="21"/>
              </w:rPr>
            </w:pPr>
            <w:r>
              <w:rPr>
                <w:rFonts w:ascii="新宋体" w:hAnsi="新宋体" w:eastAsia="新宋体"/>
                <w:bCs/>
                <w:color w:val="auto"/>
                <w:szCs w:val="21"/>
                <w:lang w:eastAsia="zh-Hans"/>
              </w:rPr>
              <w:t>3.</w:t>
            </w:r>
            <w:r>
              <w:rPr>
                <w:rFonts w:hint="eastAsia" w:ascii="新宋体" w:hAnsi="新宋体" w:eastAsia="新宋体"/>
                <w:bCs/>
                <w:color w:val="auto"/>
                <w:szCs w:val="21"/>
              </w:rPr>
              <w:t>8</w:t>
            </w:r>
            <w:r>
              <w:rPr>
                <w:rFonts w:hint="eastAsia" w:ascii="新宋体" w:hAnsi="新宋体" w:eastAsia="新宋体"/>
                <w:bCs/>
                <w:color w:val="auto"/>
                <w:szCs w:val="21"/>
                <w:lang w:eastAsia="zh-Hans"/>
              </w:rPr>
              <w:t>合规识别行为：</w:t>
            </w:r>
            <w:r>
              <w:rPr>
                <w:rFonts w:hint="eastAsia" w:ascii="新宋体" w:hAnsi="新宋体" w:eastAsia="新宋体"/>
                <w:bCs/>
                <w:color w:val="auto"/>
                <w:szCs w:val="21"/>
              </w:rPr>
              <w:t>支持对敏感行为识别包括获取</w:t>
            </w:r>
            <w:r>
              <w:rPr>
                <w:rFonts w:ascii="新宋体" w:hAnsi="新宋体" w:eastAsia="新宋体"/>
                <w:bCs/>
                <w:color w:val="auto"/>
                <w:szCs w:val="21"/>
              </w:rPr>
              <w:t>ANDROID_ID</w:t>
            </w:r>
            <w:r>
              <w:rPr>
                <w:rFonts w:hint="eastAsia" w:ascii="新宋体" w:hAnsi="新宋体" w:eastAsia="新宋体"/>
                <w:bCs/>
                <w:color w:val="auto"/>
                <w:szCs w:val="21"/>
              </w:rPr>
              <w:t>、获取</w:t>
            </w:r>
            <w:r>
              <w:rPr>
                <w:rFonts w:ascii="新宋体" w:hAnsi="新宋体" w:eastAsia="新宋体"/>
                <w:bCs/>
                <w:color w:val="auto"/>
                <w:szCs w:val="21"/>
              </w:rPr>
              <w:t>MEID</w:t>
            </w:r>
            <w:r>
              <w:rPr>
                <w:rFonts w:hint="eastAsia" w:ascii="新宋体" w:hAnsi="新宋体" w:eastAsia="新宋体"/>
                <w:bCs/>
                <w:color w:val="auto"/>
                <w:szCs w:val="21"/>
              </w:rPr>
              <w:t>、获取定位、获取安装包名、获取</w:t>
            </w:r>
            <w:r>
              <w:rPr>
                <w:rFonts w:ascii="新宋体" w:hAnsi="新宋体" w:eastAsia="新宋体"/>
                <w:bCs/>
                <w:color w:val="auto"/>
                <w:szCs w:val="21"/>
              </w:rPr>
              <w:t>ip</w:t>
            </w:r>
            <w:r>
              <w:rPr>
                <w:rFonts w:hint="eastAsia" w:ascii="新宋体" w:hAnsi="新宋体" w:eastAsia="新宋体"/>
                <w:bCs/>
                <w:color w:val="auto"/>
                <w:szCs w:val="21"/>
              </w:rPr>
              <w:t>、获取</w:t>
            </w:r>
            <w:r>
              <w:rPr>
                <w:rFonts w:ascii="新宋体" w:hAnsi="新宋体" w:eastAsia="新宋体"/>
                <w:bCs/>
                <w:color w:val="auto"/>
                <w:szCs w:val="21"/>
              </w:rPr>
              <w:t>mac</w:t>
            </w:r>
            <w:r>
              <w:rPr>
                <w:rFonts w:hint="eastAsia" w:ascii="新宋体" w:hAnsi="新宋体" w:eastAsia="新宋体"/>
                <w:bCs/>
                <w:color w:val="auto"/>
                <w:szCs w:val="21"/>
              </w:rPr>
              <w:t>等行为，记录敏感行为函数调用栈，分析行为涉及个人信息，超过</w:t>
            </w:r>
            <w:r>
              <w:rPr>
                <w:rFonts w:ascii="新宋体" w:hAnsi="新宋体" w:eastAsia="新宋体"/>
                <w:bCs/>
                <w:color w:val="auto"/>
                <w:szCs w:val="21"/>
              </w:rPr>
              <w:t>250</w:t>
            </w:r>
            <w:r>
              <w:rPr>
                <w:rFonts w:hint="eastAsia" w:ascii="新宋体" w:hAnsi="新宋体" w:eastAsia="新宋体"/>
                <w:bCs/>
                <w:color w:val="auto"/>
                <w:szCs w:val="21"/>
              </w:rPr>
              <w:t>敏感接口。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bCs/>
                <w:color w:val="auto"/>
                <w:szCs w:val="21"/>
                <w:lang w:eastAsia="zh-Hans"/>
              </w:rPr>
            </w:pPr>
            <w:r>
              <w:rPr>
                <w:rFonts w:ascii="新宋体" w:hAnsi="新宋体" w:eastAsia="新宋体"/>
                <w:b/>
                <w:bCs/>
                <w:color w:val="auto"/>
                <w:szCs w:val="21"/>
              </w:rPr>
              <w:t>▲</w:t>
            </w:r>
            <w:r>
              <w:rPr>
                <w:rFonts w:ascii="新宋体" w:hAnsi="新宋体" w:eastAsia="新宋体"/>
                <w:b/>
                <w:bCs/>
                <w:color w:val="auto"/>
                <w:szCs w:val="21"/>
                <w:lang w:eastAsia="zh-Hans"/>
              </w:rPr>
              <w:t>3.</w:t>
            </w:r>
            <w:r>
              <w:rPr>
                <w:rFonts w:hint="eastAsia" w:ascii="新宋体" w:hAnsi="新宋体" w:eastAsia="新宋体"/>
                <w:b/>
                <w:bCs/>
                <w:color w:val="auto"/>
                <w:szCs w:val="21"/>
              </w:rPr>
              <w:t>9</w:t>
            </w:r>
            <w:r>
              <w:rPr>
                <w:rFonts w:hint="eastAsia" w:ascii="新宋体" w:hAnsi="新宋体" w:eastAsia="新宋体"/>
                <w:b/>
                <w:color w:val="auto"/>
                <w:szCs w:val="21"/>
                <w:lang w:eastAsia="zh-Hans"/>
              </w:rPr>
              <w:t>APP组件成分分析：应用支持成分分析，覆盖主流语言公开组件库的识别。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bCs/>
                <w:color w:val="auto"/>
                <w:szCs w:val="21"/>
                <w:lang w:eastAsia="zh-Hans"/>
              </w:rPr>
            </w:pPr>
            <w:r>
              <w:rPr>
                <w:rFonts w:ascii="新宋体" w:hAnsi="新宋体" w:eastAsia="新宋体"/>
                <w:b/>
                <w:bCs/>
                <w:color w:val="auto"/>
                <w:szCs w:val="21"/>
              </w:rPr>
              <w:t>▲</w:t>
            </w:r>
            <w:r>
              <w:rPr>
                <w:rFonts w:ascii="新宋体" w:hAnsi="新宋体" w:eastAsia="新宋体"/>
                <w:b/>
                <w:bCs/>
                <w:color w:val="auto"/>
                <w:szCs w:val="21"/>
                <w:lang w:eastAsia="zh-Hans"/>
              </w:rPr>
              <w:t>3.1</w:t>
            </w:r>
            <w:r>
              <w:rPr>
                <w:rFonts w:hint="eastAsia" w:ascii="新宋体" w:hAnsi="新宋体" w:eastAsia="新宋体"/>
                <w:b/>
                <w:bCs/>
                <w:color w:val="auto"/>
                <w:szCs w:val="21"/>
              </w:rPr>
              <w:t>0</w:t>
            </w:r>
            <w:r>
              <w:rPr>
                <w:rFonts w:hint="eastAsia" w:ascii="新宋体" w:hAnsi="新宋体" w:eastAsia="新宋体"/>
                <w:b/>
                <w:color w:val="auto"/>
                <w:szCs w:val="21"/>
                <w:lang w:eastAsia="zh-Hans"/>
              </w:rPr>
              <w:t>APP组件许可证分析：支持开源许可证合规性分析，支持超过400个开源许可证。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bCs/>
                <w:color w:val="auto"/>
                <w:szCs w:val="21"/>
                <w:lang w:eastAsia="zh-Hans"/>
              </w:rPr>
            </w:pPr>
            <w:r>
              <w:rPr>
                <w:rFonts w:ascii="新宋体" w:hAnsi="新宋体" w:eastAsia="新宋体"/>
                <w:b/>
                <w:bCs/>
                <w:color w:val="auto"/>
                <w:szCs w:val="21"/>
              </w:rPr>
              <w:t>▲</w:t>
            </w:r>
            <w:r>
              <w:rPr>
                <w:rFonts w:ascii="新宋体" w:hAnsi="新宋体" w:eastAsia="新宋体"/>
                <w:b/>
                <w:bCs/>
                <w:color w:val="auto"/>
                <w:szCs w:val="21"/>
                <w:lang w:eastAsia="zh-Hans"/>
              </w:rPr>
              <w:t>3.1</w:t>
            </w:r>
            <w:r>
              <w:rPr>
                <w:rFonts w:hint="eastAsia" w:ascii="新宋体" w:hAnsi="新宋体" w:eastAsia="新宋体"/>
                <w:b/>
                <w:bCs/>
                <w:color w:val="auto"/>
                <w:szCs w:val="21"/>
              </w:rPr>
              <w:t>1</w:t>
            </w:r>
            <w:r>
              <w:rPr>
                <w:rFonts w:hint="eastAsia" w:ascii="新宋体" w:hAnsi="新宋体" w:eastAsia="新宋体"/>
                <w:b/>
                <w:color w:val="auto"/>
                <w:szCs w:val="21"/>
                <w:lang w:eastAsia="zh-Hans"/>
              </w:rPr>
              <w:t>代码补全技术：支持对不完整代码进行自动分析和代码依赖性自动补全，为逆向分析提供技术支撑。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04" w:type="dxa"/>
            <w:vMerge w:val="continue"/>
            <w:vAlign w:val="center"/>
          </w:tcPr>
          <w:p>
            <w:pPr>
              <w:spacing w:line="276" w:lineRule="auto"/>
              <w:jc w:val="center"/>
              <w:rPr>
                <w:rFonts w:ascii="新宋体" w:hAnsi="新宋体" w:eastAsia="新宋体"/>
                <w:b/>
                <w:szCs w:val="21"/>
              </w:rPr>
            </w:pPr>
          </w:p>
        </w:tc>
        <w:tc>
          <w:tcPr>
            <w:tcW w:w="1134" w:type="dxa"/>
            <w:vMerge w:val="continue"/>
            <w:vAlign w:val="center"/>
          </w:tcPr>
          <w:p>
            <w:pPr>
              <w:spacing w:line="276" w:lineRule="auto"/>
              <w:jc w:val="center"/>
              <w:rPr>
                <w:rFonts w:ascii="新宋体" w:hAnsi="新宋体" w:eastAsia="新宋体"/>
                <w:b/>
                <w:szCs w:val="21"/>
              </w:rPr>
            </w:pPr>
          </w:p>
        </w:tc>
        <w:tc>
          <w:tcPr>
            <w:tcW w:w="709" w:type="dxa"/>
            <w:vMerge w:val="continue"/>
            <w:vAlign w:val="center"/>
          </w:tcPr>
          <w:p>
            <w:pPr>
              <w:spacing w:line="276" w:lineRule="auto"/>
              <w:jc w:val="center"/>
              <w:rPr>
                <w:rFonts w:ascii="新宋体" w:hAnsi="新宋体" w:eastAsia="新宋体"/>
                <w:bCs/>
                <w:szCs w:val="21"/>
              </w:rPr>
            </w:pPr>
          </w:p>
        </w:tc>
        <w:tc>
          <w:tcPr>
            <w:tcW w:w="6541" w:type="dxa"/>
            <w:vAlign w:val="center"/>
          </w:tcPr>
          <w:p>
            <w:pPr>
              <w:spacing w:line="276" w:lineRule="auto"/>
              <w:rPr>
                <w:rFonts w:ascii="新宋体" w:hAnsi="新宋体" w:eastAsia="新宋体"/>
                <w:b/>
                <w:bCs/>
                <w:color w:val="auto"/>
                <w:szCs w:val="21"/>
                <w:lang w:eastAsia="zh-Hans"/>
              </w:rPr>
            </w:pPr>
            <w:r>
              <w:rPr>
                <w:rFonts w:ascii="新宋体" w:hAnsi="新宋体" w:eastAsia="新宋体"/>
                <w:b/>
                <w:bCs/>
                <w:color w:val="auto"/>
                <w:szCs w:val="21"/>
              </w:rPr>
              <w:t>▲</w:t>
            </w:r>
            <w:r>
              <w:rPr>
                <w:rFonts w:ascii="新宋体" w:hAnsi="新宋体" w:eastAsia="新宋体"/>
                <w:b/>
                <w:bCs/>
                <w:color w:val="auto"/>
                <w:szCs w:val="21"/>
                <w:lang w:eastAsia="zh-Hans"/>
              </w:rPr>
              <w:t>3.1</w:t>
            </w:r>
            <w:r>
              <w:rPr>
                <w:rFonts w:hint="eastAsia" w:ascii="新宋体" w:hAnsi="新宋体" w:eastAsia="新宋体"/>
                <w:b/>
                <w:bCs/>
                <w:color w:val="auto"/>
                <w:szCs w:val="21"/>
              </w:rPr>
              <w:t>2</w:t>
            </w:r>
            <w:r>
              <w:rPr>
                <w:rFonts w:hint="eastAsia" w:ascii="新宋体" w:hAnsi="新宋体" w:eastAsia="新宋体"/>
                <w:b/>
                <w:color w:val="auto"/>
                <w:szCs w:val="21"/>
                <w:lang w:eastAsia="zh-Hans"/>
              </w:rPr>
              <w:t>数据流分析技术：支持对系统可执行文件进行数据流分析，识别和分析数据中存在的个人信息泄露、通信数据未加密等安全隐患。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04"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2</w:t>
            </w:r>
          </w:p>
        </w:tc>
        <w:tc>
          <w:tcPr>
            <w:tcW w:w="1843" w:type="dxa"/>
            <w:gridSpan w:val="2"/>
            <w:vAlign w:val="center"/>
          </w:tcPr>
          <w:p>
            <w:pPr>
              <w:spacing w:line="276" w:lineRule="auto"/>
              <w:jc w:val="center"/>
              <w:rPr>
                <w:rFonts w:ascii="新宋体" w:hAnsi="新宋体" w:eastAsia="新宋体"/>
                <w:bCs/>
                <w:szCs w:val="21"/>
              </w:rPr>
            </w:pPr>
            <w:r>
              <w:rPr>
                <w:rFonts w:hint="eastAsia" w:ascii="新宋体" w:hAnsi="新宋体" w:eastAsia="新宋体"/>
                <w:bCs/>
                <w:szCs w:val="21"/>
              </w:rPr>
              <w:t>测试终端</w:t>
            </w:r>
          </w:p>
        </w:tc>
        <w:tc>
          <w:tcPr>
            <w:tcW w:w="6541" w:type="dxa"/>
            <w:vAlign w:val="center"/>
          </w:tcPr>
          <w:p>
            <w:pPr>
              <w:spacing w:line="276" w:lineRule="auto"/>
              <w:rPr>
                <w:rFonts w:ascii="新宋体" w:hAnsi="新宋体" w:eastAsia="新宋体"/>
                <w:bCs/>
                <w:color w:val="auto"/>
                <w:szCs w:val="21"/>
              </w:rPr>
            </w:pPr>
            <w:r>
              <w:rPr>
                <w:rFonts w:hint="eastAsia" w:ascii="新宋体" w:hAnsi="新宋体" w:eastAsia="新宋体"/>
                <w:bCs/>
                <w:color w:val="auto"/>
                <w:szCs w:val="21"/>
              </w:rPr>
              <w:t>4.1 测试终端需满足检测所需</w:t>
            </w:r>
            <w:r>
              <w:rPr>
                <w:rFonts w:hint="eastAsia" w:ascii="新宋体" w:hAnsi="新宋体" w:eastAsia="新宋体" w:cs="宋体"/>
                <w:color w:val="auto"/>
                <w:szCs w:val="21"/>
                <w:lang w:eastAsia="zh-Hans"/>
              </w:rPr>
              <w:t>Android</w:t>
            </w:r>
            <w:r>
              <w:rPr>
                <w:rFonts w:hint="eastAsia" w:ascii="新宋体" w:hAnsi="新宋体" w:eastAsia="新宋体" w:cs="宋体"/>
                <w:color w:val="auto"/>
                <w:szCs w:val="21"/>
              </w:rPr>
              <w:t>、</w:t>
            </w:r>
            <w:r>
              <w:rPr>
                <w:rFonts w:hint="eastAsia" w:ascii="新宋体" w:hAnsi="新宋体" w:eastAsia="新宋体" w:cs="宋体"/>
                <w:color w:val="auto"/>
                <w:szCs w:val="21"/>
                <w:lang w:eastAsia="zh-Hans"/>
              </w:rPr>
              <w:t>iOS</w:t>
            </w:r>
            <w:r>
              <w:rPr>
                <w:rFonts w:hint="eastAsia" w:ascii="新宋体" w:hAnsi="新宋体" w:eastAsia="新宋体" w:cs="宋体"/>
                <w:color w:val="auto"/>
                <w:szCs w:val="21"/>
              </w:rPr>
              <w:t>及</w:t>
            </w:r>
            <w:r>
              <w:rPr>
                <w:rFonts w:hint="eastAsia" w:ascii="新宋体" w:hAnsi="新宋体" w:eastAsia="新宋体" w:cs="宋体"/>
                <w:color w:val="auto"/>
                <w:szCs w:val="21"/>
                <w:lang w:eastAsia="zh-Hans"/>
              </w:rPr>
              <w:t>鸿蒙</w:t>
            </w:r>
            <w:r>
              <w:rPr>
                <w:rFonts w:hint="eastAsia" w:ascii="新宋体" w:hAnsi="新宋体" w:eastAsia="新宋体" w:cs="宋体"/>
                <w:color w:val="auto"/>
                <w:szCs w:val="21"/>
              </w:rPr>
              <w:t>操作系统环境。</w:t>
            </w:r>
          </w:p>
          <w:p>
            <w:pPr>
              <w:spacing w:line="276" w:lineRule="auto"/>
              <w:rPr>
                <w:rFonts w:ascii="新宋体" w:hAnsi="新宋体" w:eastAsia="新宋体"/>
                <w:b/>
                <w:bCs/>
                <w:color w:val="auto"/>
                <w:szCs w:val="21"/>
              </w:rPr>
            </w:pPr>
            <w:r>
              <w:rPr>
                <w:rFonts w:hint="eastAsia" w:ascii="新宋体" w:hAnsi="新宋体" w:eastAsia="新宋体"/>
                <w:bCs/>
                <w:color w:val="auto"/>
                <w:szCs w:val="21"/>
              </w:rPr>
              <w:t>4.2测试终端需为检测设备定制系统，安装agent与系统后台联动完成测试，提供测试必须的测试框架、数据提取和分析工具，与后台通过标准API进行任务执行、过程数据回传、结果数据回传等。</w:t>
            </w:r>
          </w:p>
        </w:tc>
      </w:tr>
    </w:tbl>
    <w:p>
      <w:pPr>
        <w:rPr>
          <w:b/>
          <w:szCs w:val="21"/>
        </w:rPr>
      </w:pPr>
    </w:p>
    <w:p>
      <w:pPr>
        <w:pStyle w:val="3"/>
        <w:jc w:val="left"/>
        <w:rPr>
          <w:rFonts w:ascii="新宋体" w:hAnsi="新宋体" w:eastAsia="新宋体"/>
          <w:kern w:val="44"/>
          <w:sz w:val="30"/>
          <w:szCs w:val="30"/>
        </w:rPr>
      </w:pPr>
      <w:r>
        <w:rPr>
          <w:rFonts w:hint="eastAsia" w:ascii="新宋体" w:hAnsi="新宋体" w:eastAsia="新宋体"/>
          <w:kern w:val="44"/>
          <w:sz w:val="30"/>
          <w:szCs w:val="30"/>
        </w:rPr>
        <w:t>五、检测报告</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3119"/>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76" w:lineRule="auto"/>
              <w:jc w:val="center"/>
              <w:rPr>
                <w:rFonts w:ascii="新宋体" w:hAnsi="新宋体" w:eastAsia="新宋体"/>
              </w:rPr>
            </w:pPr>
            <w:r>
              <w:rPr>
                <w:rFonts w:hint="eastAsia" w:ascii="新宋体" w:hAnsi="新宋体" w:eastAsia="新宋体"/>
              </w:rPr>
              <w:t>序号</w:t>
            </w:r>
          </w:p>
        </w:tc>
        <w:tc>
          <w:tcPr>
            <w:tcW w:w="1667" w:type="dxa"/>
            <w:vAlign w:val="center"/>
          </w:tcPr>
          <w:p>
            <w:pPr>
              <w:spacing w:line="276" w:lineRule="auto"/>
              <w:jc w:val="center"/>
              <w:rPr>
                <w:rFonts w:ascii="新宋体" w:hAnsi="新宋体" w:eastAsia="新宋体"/>
              </w:rPr>
            </w:pPr>
            <w:r>
              <w:rPr>
                <w:rFonts w:hint="eastAsia" w:ascii="新宋体" w:hAnsi="新宋体" w:eastAsia="新宋体"/>
              </w:rPr>
              <w:t>货物名称</w:t>
            </w:r>
          </w:p>
        </w:tc>
        <w:tc>
          <w:tcPr>
            <w:tcW w:w="3119" w:type="dxa"/>
            <w:vAlign w:val="center"/>
          </w:tcPr>
          <w:p>
            <w:pPr>
              <w:spacing w:line="276" w:lineRule="auto"/>
              <w:jc w:val="center"/>
              <w:rPr>
                <w:rFonts w:ascii="新宋体" w:hAnsi="新宋体" w:eastAsia="新宋体"/>
              </w:rPr>
            </w:pPr>
            <w:r>
              <w:rPr>
                <w:rFonts w:hint="eastAsia" w:ascii="新宋体" w:hAnsi="新宋体" w:eastAsia="新宋体"/>
              </w:rPr>
              <w:t>检测机构要求</w:t>
            </w:r>
          </w:p>
        </w:tc>
        <w:tc>
          <w:tcPr>
            <w:tcW w:w="4111" w:type="dxa"/>
            <w:vAlign w:val="center"/>
          </w:tcPr>
          <w:p>
            <w:pPr>
              <w:spacing w:line="276" w:lineRule="auto"/>
              <w:jc w:val="center"/>
              <w:rPr>
                <w:rFonts w:ascii="新宋体" w:hAnsi="新宋体" w:eastAsia="新宋体"/>
              </w:rPr>
            </w:pPr>
            <w:r>
              <w:rPr>
                <w:rFonts w:hint="eastAsia" w:ascii="新宋体" w:hAnsi="新宋体" w:eastAsia="新宋体"/>
              </w:rPr>
              <w:t>检测指标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1667" w:type="dxa"/>
            <w:vAlign w:val="center"/>
          </w:tcPr>
          <w:p>
            <w:pPr>
              <w:spacing w:line="276" w:lineRule="auto"/>
              <w:jc w:val="center"/>
              <w:rPr>
                <w:rFonts w:ascii="新宋体" w:hAnsi="新宋体" w:eastAsia="新宋体"/>
              </w:rPr>
            </w:pPr>
            <w:r>
              <w:rPr>
                <w:rFonts w:hint="eastAsia"/>
                <w:bCs/>
                <w:color w:val="000000" w:themeColor="text1"/>
                <w:szCs w:val="21"/>
                <w:lang w:eastAsia="zh-Hans"/>
                <w14:textFill>
                  <w14:solidFill>
                    <w14:schemeClr w14:val="tx1"/>
                  </w14:solidFill>
                </w14:textFill>
              </w:rPr>
              <w:t>移动应用安全检测</w:t>
            </w:r>
            <w:r>
              <w:rPr>
                <w:rFonts w:hint="eastAsia"/>
                <w:bCs/>
                <w:color w:val="000000" w:themeColor="text1"/>
                <w:szCs w:val="21"/>
                <w14:textFill>
                  <w14:solidFill>
                    <w14:schemeClr w14:val="tx1"/>
                  </w14:solidFill>
                </w14:textFill>
              </w:rPr>
              <w:t>设备</w:t>
            </w:r>
          </w:p>
        </w:tc>
        <w:tc>
          <w:tcPr>
            <w:tcW w:w="3119" w:type="dxa"/>
            <w:vAlign w:val="center"/>
          </w:tcPr>
          <w:p>
            <w:pPr>
              <w:spacing w:line="276" w:lineRule="auto"/>
              <w:jc w:val="center"/>
              <w:rPr>
                <w:rFonts w:ascii="新宋体" w:hAnsi="新宋体" w:eastAsia="新宋体"/>
              </w:rPr>
            </w:pPr>
            <w:r>
              <w:rPr>
                <w:rFonts w:hint="eastAsia"/>
                <w:color w:val="000000" w:themeColor="text1"/>
                <w:szCs w:val="21"/>
                <w:lang w:eastAsia="zh-Hans"/>
                <w14:textFill>
                  <w14:solidFill>
                    <w14:schemeClr w14:val="tx1"/>
                  </w14:solidFill>
                </w14:textFill>
              </w:rPr>
              <w:t>国家级第三方检测机构或者国家部委主管部门检测机构</w:t>
            </w:r>
          </w:p>
        </w:tc>
        <w:tc>
          <w:tcPr>
            <w:tcW w:w="4111" w:type="dxa"/>
            <w:vAlign w:val="center"/>
          </w:tcPr>
          <w:p>
            <w:pPr>
              <w:spacing w:line="276" w:lineRule="auto"/>
              <w:jc w:val="center"/>
              <w:rPr>
                <w:rFonts w:ascii="新宋体" w:hAnsi="新宋体" w:eastAsia="新宋体"/>
              </w:rPr>
            </w:pPr>
            <w:r>
              <w:rPr>
                <w:rFonts w:hint="eastAsia"/>
                <w:color w:val="000000" w:themeColor="text1"/>
                <w:szCs w:val="21"/>
                <w:lang w:eastAsia="zh-Hans"/>
                <w14:textFill>
                  <w14:solidFill>
                    <w14:schemeClr w14:val="tx1"/>
                  </w14:solidFill>
                </w14:textFill>
              </w:rPr>
              <w:t>证明支持对移动应用安全漏洞检测和</w:t>
            </w:r>
            <w:r>
              <w:rPr>
                <w:rFonts w:hint="eastAsia" w:ascii="宋体" w:hAnsi="宋体" w:cs="宋体"/>
                <w:color w:val="000000" w:themeColor="text1"/>
                <w:szCs w:val="21"/>
                <w:lang w:eastAsia="zh-Hans"/>
                <w14:textFill>
                  <w14:solidFill>
                    <w14:schemeClr w14:val="tx1"/>
                  </w14:solidFill>
                </w14:textFill>
              </w:rPr>
              <w:t>个人信息安全影响评估</w:t>
            </w:r>
            <w:r>
              <w:rPr>
                <w:rFonts w:hint="eastAsia"/>
                <w:color w:val="000000" w:themeColor="text1"/>
                <w:szCs w:val="21"/>
                <w:lang w:eastAsia="zh-Hans"/>
                <w14:textFill>
                  <w14:solidFill>
                    <w14:schemeClr w14:val="tx1"/>
                  </w14:solidFill>
                </w14:textFill>
              </w:rPr>
              <w:t>检测能力。</w:t>
            </w:r>
          </w:p>
        </w:tc>
      </w:tr>
    </w:tbl>
    <w:p>
      <w:pPr>
        <w:spacing w:line="360" w:lineRule="auto"/>
        <w:rPr>
          <w:rFonts w:ascii="新宋体" w:hAnsi="新宋体" w:eastAsia="新宋体"/>
          <w:b/>
          <w:szCs w:val="21"/>
        </w:rPr>
      </w:pPr>
      <w:r>
        <w:rPr>
          <w:rFonts w:hint="eastAsia" w:ascii="新宋体" w:hAnsi="新宋体" w:eastAsia="新宋体"/>
          <w:b/>
          <w:szCs w:val="21"/>
        </w:rPr>
        <w:t>备注：</w:t>
      </w:r>
    </w:p>
    <w:p>
      <w:pPr>
        <w:spacing w:line="360" w:lineRule="auto"/>
        <w:rPr>
          <w:rFonts w:ascii="新宋体" w:hAnsi="新宋体" w:eastAsia="新宋体"/>
          <w:b/>
          <w:szCs w:val="21"/>
        </w:rPr>
      </w:pPr>
      <w:r>
        <w:rPr>
          <w:rFonts w:hint="eastAsia" w:ascii="新宋体" w:hAnsi="新宋体" w:eastAsia="新宋体"/>
          <w:b/>
          <w:szCs w:val="21"/>
        </w:rPr>
        <w:t>1、投标文件应按要求提供相应检测报告。</w:t>
      </w:r>
    </w:p>
    <w:p>
      <w:pPr>
        <w:spacing w:line="360" w:lineRule="auto"/>
        <w:rPr>
          <w:rFonts w:ascii="新宋体" w:hAnsi="新宋体" w:eastAsia="新宋体"/>
          <w:b/>
          <w:szCs w:val="21"/>
        </w:rPr>
      </w:pPr>
      <w:r>
        <w:rPr>
          <w:rFonts w:hint="eastAsia" w:ascii="新宋体" w:hAnsi="新宋体" w:eastAsia="新宋体"/>
          <w:b/>
          <w:szCs w:val="21"/>
        </w:rPr>
        <w:t>2、检测报告（均为原件扫描件）的提供要求：</w:t>
      </w:r>
    </w:p>
    <w:p>
      <w:pPr>
        <w:spacing w:line="360" w:lineRule="auto"/>
        <w:rPr>
          <w:rFonts w:ascii="新宋体" w:hAnsi="新宋体" w:eastAsia="新宋体"/>
          <w:b/>
          <w:szCs w:val="21"/>
        </w:rPr>
      </w:pPr>
      <w:r>
        <w:rPr>
          <w:rFonts w:hint="eastAsia" w:ascii="新宋体" w:hAnsi="新宋体" w:eastAsia="新宋体"/>
          <w:b/>
          <w:szCs w:val="21"/>
        </w:rPr>
        <w:t>（1）检测报告内容中若涉及外文说明，必须同时提供对应中文翻译说明，评标依据以中文翻译内容为准，外文说明仅供参考；检测报告尺寸和清晰度应该能够在电脑上被阅读、识别和判断；</w:t>
      </w:r>
    </w:p>
    <w:p>
      <w:pPr>
        <w:spacing w:line="360" w:lineRule="auto"/>
        <w:rPr>
          <w:rFonts w:ascii="新宋体" w:hAnsi="新宋体" w:eastAsia="新宋体"/>
          <w:b/>
          <w:szCs w:val="21"/>
        </w:rPr>
      </w:pPr>
      <w:r>
        <w:rPr>
          <w:rFonts w:hint="eastAsia" w:ascii="新宋体" w:hAnsi="新宋体" w:eastAsia="新宋体"/>
          <w:b/>
          <w:szCs w:val="21"/>
        </w:rPr>
        <w:t>（2）我国政府机构出具的产品检测报告应为报告正面、背面和附件标注的全部具体内容；产品检验报告的尺寸和清晰度应该能够在电脑上被阅读、识别和判断。</w:t>
      </w:r>
    </w:p>
    <w:p>
      <w:pPr>
        <w:rPr>
          <w:sz w:val="24"/>
        </w:rPr>
      </w:pPr>
    </w:p>
    <w:p>
      <w:pPr>
        <w:pStyle w:val="3"/>
        <w:jc w:val="left"/>
        <w:rPr>
          <w:rFonts w:ascii="新宋体" w:hAnsi="新宋体" w:eastAsia="新宋体"/>
          <w:kern w:val="44"/>
          <w:sz w:val="30"/>
          <w:szCs w:val="30"/>
        </w:rPr>
      </w:pPr>
      <w:r>
        <w:rPr>
          <w:rFonts w:hint="eastAsia" w:ascii="新宋体" w:hAnsi="新宋体" w:eastAsia="新宋体"/>
          <w:kern w:val="44"/>
          <w:sz w:val="30"/>
          <w:szCs w:val="30"/>
        </w:rPr>
        <w:t>六、样品要求</w:t>
      </w:r>
    </w:p>
    <w:p>
      <w:pPr>
        <w:spacing w:line="360" w:lineRule="auto"/>
        <w:rPr>
          <w:rFonts w:ascii="新宋体" w:hAnsi="新宋体" w:eastAsia="新宋体"/>
        </w:rPr>
      </w:pPr>
      <w:r>
        <w:rPr>
          <w:rFonts w:hint="eastAsia" w:ascii="新宋体" w:hAnsi="新宋体" w:eastAsia="新宋体"/>
        </w:rPr>
        <w:t>（一）一般性规定和要求</w:t>
      </w:r>
    </w:p>
    <w:p>
      <w:pPr>
        <w:spacing w:line="360" w:lineRule="auto"/>
        <w:rPr>
          <w:rFonts w:ascii="新宋体" w:hAnsi="新宋体" w:eastAsia="新宋体"/>
        </w:rPr>
      </w:pPr>
      <w:r>
        <w:rPr>
          <w:rFonts w:hint="eastAsia" w:ascii="新宋体" w:hAnsi="新宋体" w:eastAsia="新宋体"/>
        </w:rPr>
        <w:t>1、投标样品上必须标注“项目名称及项目编号、样品编号、样品名称”等信息，但</w:t>
      </w:r>
      <w:r>
        <w:rPr>
          <w:rFonts w:ascii="新宋体" w:hAnsi="新宋体" w:eastAsia="新宋体"/>
        </w:rPr>
        <w:t>不</w:t>
      </w:r>
      <w:r>
        <w:rPr>
          <w:rFonts w:hint="eastAsia" w:ascii="新宋体" w:hAnsi="新宋体" w:eastAsia="新宋体"/>
        </w:rPr>
        <w:t>得显示指向</w:t>
      </w:r>
      <w:r>
        <w:rPr>
          <w:rFonts w:ascii="新宋体" w:hAnsi="新宋体" w:eastAsia="新宋体"/>
        </w:rPr>
        <w:t>任何</w:t>
      </w:r>
      <w:r>
        <w:rPr>
          <w:rFonts w:hint="eastAsia" w:ascii="新宋体" w:hAnsi="新宋体" w:eastAsia="新宋体"/>
        </w:rPr>
        <w:t>投标供应商的信息、</w:t>
      </w:r>
      <w:r>
        <w:rPr>
          <w:rFonts w:ascii="新宋体" w:hAnsi="新宋体" w:eastAsia="新宋体"/>
        </w:rPr>
        <w:t>生产厂家</w:t>
      </w:r>
      <w:r>
        <w:rPr>
          <w:rFonts w:hint="eastAsia" w:ascii="新宋体" w:hAnsi="新宋体" w:eastAsia="新宋体"/>
        </w:rPr>
        <w:t>的</w:t>
      </w:r>
      <w:r>
        <w:rPr>
          <w:rFonts w:ascii="新宋体" w:hAnsi="新宋体" w:eastAsia="新宋体"/>
        </w:rPr>
        <w:t>商标，或者</w:t>
      </w:r>
      <w:r>
        <w:rPr>
          <w:rFonts w:hint="eastAsia" w:ascii="新宋体" w:hAnsi="新宋体" w:eastAsia="新宋体"/>
        </w:rPr>
        <w:t>其他</w:t>
      </w:r>
      <w:r>
        <w:rPr>
          <w:rFonts w:ascii="新宋体" w:hAnsi="新宋体" w:eastAsia="新宋体"/>
        </w:rPr>
        <w:t>的标记标识</w:t>
      </w:r>
      <w:r>
        <w:rPr>
          <w:rFonts w:hint="eastAsia" w:ascii="新宋体" w:hAnsi="新宋体" w:eastAsia="新宋体"/>
        </w:rPr>
        <w:t>。需要安装的投标样品必须为安装完整的成品，由投标供应商自行组织安装。</w:t>
      </w:r>
    </w:p>
    <w:p>
      <w:pPr>
        <w:spacing w:line="360" w:lineRule="auto"/>
        <w:rPr>
          <w:rFonts w:ascii="新宋体" w:hAnsi="新宋体" w:eastAsia="新宋体"/>
        </w:rPr>
      </w:pPr>
      <w:r>
        <w:rPr>
          <w:rFonts w:hint="eastAsia" w:ascii="新宋体" w:hAnsi="新宋体" w:eastAsia="新宋体"/>
        </w:rPr>
        <w:t>2、样品递交签到：</w:t>
      </w:r>
    </w:p>
    <w:p>
      <w:pPr>
        <w:spacing w:line="360" w:lineRule="auto"/>
        <w:rPr>
          <w:rFonts w:ascii="新宋体" w:hAnsi="新宋体" w:eastAsia="新宋体"/>
        </w:rPr>
      </w:pPr>
      <w:r>
        <w:rPr>
          <w:rFonts w:hint="eastAsia" w:ascii="新宋体" w:hAnsi="新宋体" w:eastAsia="新宋体"/>
        </w:rPr>
        <w:t>投标供应商授权人需在本项目投标截止时间前，提供法定代表人证明书（盖公章）、法定代表人授权委托书（盖公章）、授权委托人身份证原件和复印件、样品清单（加盖公章），到深圳市瑞凝信招标咨询有限公司，按工作人员指引进行样品递交签到。</w:t>
      </w:r>
    </w:p>
    <w:p>
      <w:pPr>
        <w:spacing w:line="360" w:lineRule="auto"/>
        <w:rPr>
          <w:rFonts w:ascii="新宋体" w:hAnsi="新宋体" w:eastAsia="新宋体"/>
        </w:rPr>
      </w:pPr>
      <w:r>
        <w:rPr>
          <w:rFonts w:hint="eastAsia" w:ascii="新宋体" w:hAnsi="新宋体" w:eastAsia="新宋体"/>
        </w:rPr>
        <w:t>特别注意事项：（1）上述资料提供不齐全的，不予签到；（2）本项目投标截止时间后，不再受理签到；（3）未进行签到的，样品不予接收。</w:t>
      </w:r>
    </w:p>
    <w:p>
      <w:pPr>
        <w:spacing w:line="360" w:lineRule="auto"/>
        <w:rPr>
          <w:rFonts w:ascii="新宋体" w:hAnsi="新宋体" w:eastAsia="新宋体"/>
        </w:rPr>
      </w:pPr>
      <w:r>
        <w:rPr>
          <w:rFonts w:hint="eastAsia" w:ascii="新宋体" w:hAnsi="新宋体" w:eastAsia="新宋体"/>
        </w:rPr>
        <w:t xml:space="preserve">3、本项目投标截止时间后进行投标样品接收。投标样品接收必须进行身份核对、样品核对、登记确认、顺序编号。 </w:t>
      </w:r>
    </w:p>
    <w:p>
      <w:pPr>
        <w:spacing w:line="360" w:lineRule="auto"/>
        <w:rPr>
          <w:rFonts w:ascii="新宋体" w:hAnsi="新宋体" w:eastAsia="新宋体"/>
        </w:rPr>
      </w:pPr>
      <w:r>
        <w:rPr>
          <w:rFonts w:hint="eastAsia" w:ascii="新宋体" w:hAnsi="新宋体" w:eastAsia="新宋体"/>
        </w:rPr>
        <w:t>（1）身份核对。代理机构核对投标供应商授权委托人提供的“法定代表人证明书（盖公章）、法定代表人授权委托书（盖公章）、授权委托人身份证原件和复印件”。资料不齐全的，不得接收投标样品。</w:t>
      </w:r>
    </w:p>
    <w:p>
      <w:pPr>
        <w:spacing w:line="360" w:lineRule="auto"/>
        <w:rPr>
          <w:rFonts w:ascii="新宋体" w:hAnsi="新宋体" w:eastAsia="新宋体"/>
        </w:rPr>
      </w:pPr>
      <w:r>
        <w:rPr>
          <w:rFonts w:hint="eastAsia" w:ascii="新宋体" w:hAnsi="新宋体" w:eastAsia="新宋体"/>
        </w:rPr>
        <w:t>（2）样品核对。工作人员将投标样品与投标供应商提供的《样品清单》（盖公章）进行一一核对。有不一致的或损坏情况的，将要求供应商授权委托人在《样品清单》上注明。</w:t>
      </w:r>
    </w:p>
    <w:p>
      <w:pPr>
        <w:spacing w:line="360" w:lineRule="auto"/>
        <w:rPr>
          <w:rFonts w:ascii="新宋体" w:hAnsi="新宋体" w:eastAsia="新宋体"/>
        </w:rPr>
      </w:pPr>
      <w:r>
        <w:rPr>
          <w:rFonts w:hint="eastAsia" w:ascii="新宋体" w:hAnsi="新宋体" w:eastAsia="新宋体"/>
        </w:rPr>
        <w:t>（3）登记确认。在完成身份核对及样品核对后，投标供应商授权委托人必须在《样品接收登记表》上登记确认。</w:t>
      </w:r>
    </w:p>
    <w:p>
      <w:pPr>
        <w:spacing w:line="360" w:lineRule="auto"/>
        <w:rPr>
          <w:rFonts w:ascii="新宋体" w:hAnsi="新宋体" w:eastAsia="新宋体"/>
        </w:rPr>
      </w:pPr>
      <w:r>
        <w:rPr>
          <w:rFonts w:hint="eastAsia" w:ascii="新宋体" w:hAnsi="新宋体" w:eastAsia="新宋体"/>
        </w:rPr>
        <w:t>（4）顺序编号。工作人员按投标样品接收的先后顺序进行编号。</w:t>
      </w:r>
    </w:p>
    <w:p>
      <w:pPr>
        <w:spacing w:line="360" w:lineRule="auto"/>
        <w:rPr>
          <w:rFonts w:ascii="新宋体" w:hAnsi="新宋体" w:eastAsia="新宋体"/>
        </w:rPr>
      </w:pPr>
      <w:r>
        <w:rPr>
          <w:rFonts w:hint="eastAsia" w:ascii="新宋体" w:hAnsi="新宋体" w:eastAsia="新宋体"/>
        </w:rPr>
        <w:t>4、代理机构工作人员负责组织投标样品摆样，指引供应商授权委托人将投标样品搬运到指定地点摆放、拆除包装，按要求摆放整齐。完成样品摆样后，供应商授权委托人应及时立场，不得在摆样现场滞留。</w:t>
      </w:r>
    </w:p>
    <w:p>
      <w:pPr>
        <w:spacing w:line="360" w:lineRule="auto"/>
        <w:rPr>
          <w:rFonts w:ascii="新宋体" w:hAnsi="新宋体" w:eastAsia="新宋体"/>
        </w:rPr>
      </w:pPr>
      <w:r>
        <w:rPr>
          <w:rFonts w:hint="eastAsia" w:ascii="新宋体" w:hAnsi="新宋体" w:eastAsia="新宋体"/>
        </w:rPr>
        <w:t>5、样品的退回：（1）未中标的供应商投标样品，代理机构工作人员将按规定进行通知，并要求供应商授权委托人在项目完成评审后的三个工作日内凭身份证及样品受理回执原件办理退回手续。（2）中标的供应商投标样品，工作人员将按规定进行通知，并要求采购人代表在中标通知书发放后三个工作日内凭中标通知书复印件及身份证原件办理领取手续。</w:t>
      </w:r>
    </w:p>
    <w:p>
      <w:pPr>
        <w:spacing w:line="360" w:lineRule="auto"/>
        <w:rPr>
          <w:rFonts w:ascii="新宋体" w:hAnsi="新宋体" w:eastAsia="新宋体"/>
        </w:rPr>
      </w:pPr>
      <w:r>
        <w:rPr>
          <w:rFonts w:hint="eastAsia" w:ascii="新宋体" w:hAnsi="新宋体" w:eastAsia="新宋体"/>
        </w:rPr>
        <w:t>投标样品移交时，代理机构工作人员将再次核对供应商授权委托人或采购人代表身份、核对《样品清单》，签字确认后并取走样品。</w:t>
      </w:r>
    </w:p>
    <w:p>
      <w:pPr>
        <w:spacing w:line="360" w:lineRule="auto"/>
        <w:rPr>
          <w:rFonts w:ascii="新宋体" w:hAnsi="新宋体" w:eastAsia="新宋体"/>
        </w:rPr>
      </w:pPr>
      <w:r>
        <w:rPr>
          <w:rFonts w:hint="eastAsia" w:ascii="新宋体" w:hAnsi="新宋体" w:eastAsia="新宋体"/>
        </w:rPr>
        <w:t>6、未能及时退回的样品的处理：</w:t>
      </w:r>
    </w:p>
    <w:p>
      <w:pPr>
        <w:spacing w:line="360" w:lineRule="auto"/>
        <w:rPr>
          <w:rFonts w:ascii="新宋体" w:hAnsi="新宋体" w:eastAsia="新宋体"/>
        </w:rPr>
      </w:pPr>
      <w:r>
        <w:rPr>
          <w:rFonts w:hint="eastAsia" w:ascii="新宋体" w:hAnsi="新宋体" w:eastAsia="新宋体"/>
        </w:rPr>
        <w:t>（1）未中标供应商未在规定时间内（项目完成评审后三个工作日）内取回投标样品的，视为放弃取回，代理机构将定期清理。</w:t>
      </w:r>
    </w:p>
    <w:p>
      <w:pPr>
        <w:spacing w:line="360" w:lineRule="auto"/>
        <w:rPr>
          <w:rFonts w:ascii="新宋体" w:hAnsi="新宋体" w:eastAsia="新宋体"/>
        </w:rPr>
      </w:pPr>
      <w:r>
        <w:rPr>
          <w:rFonts w:hint="eastAsia" w:ascii="新宋体" w:hAnsi="新宋体" w:eastAsia="新宋体"/>
        </w:rPr>
        <w:t>（2）采购人未在规定时间内（中标通知书发放后三个工作日内）内领取中标供应商投标样品的，代理机构工作人员将发函或电话敦促。经敦促仍拒不领取的，将按规定内容在代理机构网站发布通报。对于拒不领取的中标样品，视同采购人放弃取回，将定期清理。</w:t>
      </w:r>
    </w:p>
    <w:p>
      <w:pPr>
        <w:spacing w:line="360" w:lineRule="auto"/>
        <w:rPr>
          <w:rFonts w:ascii="新宋体" w:hAnsi="新宋体" w:eastAsia="新宋体"/>
          <w:kern w:val="0"/>
          <w:szCs w:val="18"/>
        </w:rPr>
      </w:pPr>
      <w:r>
        <w:rPr>
          <w:rFonts w:hint="eastAsia" w:ascii="新宋体" w:hAnsi="新宋体" w:eastAsia="新宋体"/>
          <w:kern w:val="0"/>
          <w:szCs w:val="18"/>
        </w:rPr>
        <w:t>（二）样品清单：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409"/>
        <w:gridCol w:w="851"/>
        <w:gridCol w:w="850"/>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5" w:type="dxa"/>
            <w:vAlign w:val="center"/>
          </w:tcPr>
          <w:p>
            <w:pPr>
              <w:spacing w:line="360" w:lineRule="auto"/>
              <w:jc w:val="center"/>
              <w:rPr>
                <w:rFonts w:ascii="新宋体" w:hAnsi="新宋体" w:eastAsia="新宋体"/>
                <w:b/>
                <w:bCs/>
                <w:snapToGrid w:val="0"/>
              </w:rPr>
            </w:pPr>
            <w:r>
              <w:rPr>
                <w:rFonts w:hint="eastAsia" w:ascii="新宋体" w:hAnsi="新宋体" w:eastAsia="新宋体"/>
                <w:b/>
                <w:bCs/>
                <w:snapToGrid w:val="0"/>
              </w:rPr>
              <w:t>序号</w:t>
            </w:r>
          </w:p>
        </w:tc>
        <w:tc>
          <w:tcPr>
            <w:tcW w:w="2409" w:type="dxa"/>
            <w:vAlign w:val="center"/>
          </w:tcPr>
          <w:p>
            <w:pPr>
              <w:spacing w:line="360" w:lineRule="auto"/>
              <w:jc w:val="center"/>
              <w:rPr>
                <w:rFonts w:ascii="新宋体" w:hAnsi="新宋体" w:eastAsia="新宋体"/>
                <w:b/>
                <w:bCs/>
                <w:snapToGrid w:val="0"/>
              </w:rPr>
            </w:pPr>
            <w:r>
              <w:rPr>
                <w:rFonts w:hint="eastAsia" w:ascii="新宋体" w:hAnsi="新宋体" w:eastAsia="新宋体"/>
                <w:b/>
                <w:bCs/>
                <w:snapToGrid w:val="0"/>
              </w:rPr>
              <w:t>名称</w:t>
            </w:r>
          </w:p>
        </w:tc>
        <w:tc>
          <w:tcPr>
            <w:tcW w:w="851" w:type="dxa"/>
            <w:vAlign w:val="center"/>
          </w:tcPr>
          <w:p>
            <w:pPr>
              <w:spacing w:line="360" w:lineRule="auto"/>
              <w:jc w:val="center"/>
              <w:rPr>
                <w:rFonts w:ascii="新宋体" w:hAnsi="新宋体" w:eastAsia="新宋体"/>
                <w:b/>
                <w:bCs/>
                <w:snapToGrid w:val="0"/>
              </w:rPr>
            </w:pPr>
            <w:r>
              <w:rPr>
                <w:rFonts w:hint="eastAsia" w:ascii="新宋体" w:hAnsi="新宋体" w:eastAsia="新宋体"/>
                <w:b/>
                <w:bCs/>
                <w:snapToGrid w:val="0"/>
              </w:rPr>
              <w:t>数量</w:t>
            </w:r>
          </w:p>
        </w:tc>
        <w:tc>
          <w:tcPr>
            <w:tcW w:w="850" w:type="dxa"/>
            <w:vAlign w:val="center"/>
          </w:tcPr>
          <w:p>
            <w:pPr>
              <w:spacing w:line="360" w:lineRule="auto"/>
              <w:jc w:val="center"/>
              <w:rPr>
                <w:rFonts w:ascii="新宋体" w:hAnsi="新宋体" w:eastAsia="新宋体"/>
                <w:b/>
                <w:bCs/>
                <w:snapToGrid w:val="0"/>
              </w:rPr>
            </w:pPr>
            <w:r>
              <w:rPr>
                <w:rFonts w:hint="eastAsia" w:ascii="新宋体" w:hAnsi="新宋体" w:eastAsia="新宋体"/>
                <w:b/>
                <w:bCs/>
                <w:snapToGrid w:val="0"/>
              </w:rPr>
              <w:t>单位</w:t>
            </w:r>
          </w:p>
        </w:tc>
        <w:tc>
          <w:tcPr>
            <w:tcW w:w="3820" w:type="dxa"/>
            <w:vAlign w:val="center"/>
          </w:tcPr>
          <w:p>
            <w:pPr>
              <w:spacing w:line="360" w:lineRule="auto"/>
              <w:jc w:val="center"/>
              <w:rPr>
                <w:rFonts w:ascii="新宋体" w:hAnsi="新宋体" w:eastAsia="新宋体"/>
                <w:b/>
                <w:bCs/>
                <w:snapToGrid w:val="0"/>
              </w:rPr>
            </w:pPr>
            <w:r>
              <w:rPr>
                <w:rFonts w:hint="eastAsia" w:ascii="新宋体" w:hAnsi="新宋体" w:eastAsia="新宋体"/>
                <w:b/>
                <w:bCs/>
                <w:snapToGrid w:val="0"/>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45" w:type="dxa"/>
            <w:vAlign w:val="center"/>
          </w:tcPr>
          <w:p>
            <w:pPr>
              <w:spacing w:line="360" w:lineRule="auto"/>
              <w:jc w:val="center"/>
              <w:rPr>
                <w:rFonts w:ascii="新宋体" w:hAnsi="新宋体" w:eastAsia="新宋体"/>
                <w:b/>
                <w:bCs/>
                <w:snapToGrid w:val="0"/>
              </w:rPr>
            </w:pPr>
            <w:r>
              <w:rPr>
                <w:rFonts w:hint="eastAsia" w:ascii="新宋体" w:hAnsi="新宋体" w:eastAsia="新宋体"/>
                <w:b/>
                <w:bCs/>
                <w:snapToGrid w:val="0"/>
              </w:rPr>
              <w:t>1</w:t>
            </w:r>
          </w:p>
        </w:tc>
        <w:tc>
          <w:tcPr>
            <w:tcW w:w="2409" w:type="dxa"/>
            <w:vAlign w:val="center"/>
          </w:tcPr>
          <w:p>
            <w:pPr>
              <w:spacing w:line="360" w:lineRule="auto"/>
              <w:jc w:val="center"/>
              <w:rPr>
                <w:rFonts w:ascii="新宋体" w:hAnsi="新宋体" w:eastAsia="新宋体"/>
                <w:b/>
                <w:bCs/>
                <w:snapToGrid w:val="0"/>
              </w:rPr>
            </w:pPr>
            <w:r>
              <w:rPr>
                <w:rFonts w:hint="eastAsia"/>
                <w:b/>
                <w:bCs/>
                <w:szCs w:val="21"/>
                <w:lang w:eastAsia="zh-Hans"/>
              </w:rPr>
              <w:t>移动应用安全检测</w:t>
            </w:r>
            <w:r>
              <w:rPr>
                <w:rFonts w:hint="eastAsia"/>
                <w:b/>
                <w:bCs/>
                <w:szCs w:val="21"/>
              </w:rPr>
              <w:t>设备</w:t>
            </w:r>
          </w:p>
        </w:tc>
        <w:tc>
          <w:tcPr>
            <w:tcW w:w="851" w:type="dxa"/>
            <w:vAlign w:val="center"/>
          </w:tcPr>
          <w:p>
            <w:pPr>
              <w:spacing w:line="360" w:lineRule="auto"/>
              <w:jc w:val="center"/>
              <w:rPr>
                <w:rFonts w:ascii="新宋体" w:hAnsi="新宋体" w:eastAsia="新宋体"/>
                <w:b/>
                <w:bCs/>
                <w:snapToGrid w:val="0"/>
              </w:rPr>
            </w:pPr>
            <w:r>
              <w:rPr>
                <w:rFonts w:hint="eastAsia" w:ascii="宋体" w:hAnsi="宋体"/>
                <w:b/>
                <w:bCs/>
                <w:snapToGrid w:val="0"/>
                <w:kern w:val="0"/>
                <w:szCs w:val="21"/>
              </w:rPr>
              <w:t>1</w:t>
            </w:r>
          </w:p>
        </w:tc>
        <w:tc>
          <w:tcPr>
            <w:tcW w:w="850" w:type="dxa"/>
            <w:vAlign w:val="center"/>
          </w:tcPr>
          <w:p>
            <w:pPr>
              <w:spacing w:line="360" w:lineRule="auto"/>
              <w:jc w:val="center"/>
              <w:rPr>
                <w:rFonts w:ascii="新宋体" w:hAnsi="新宋体" w:eastAsia="新宋体"/>
                <w:b/>
                <w:bCs/>
                <w:snapToGrid w:val="0"/>
              </w:rPr>
            </w:pPr>
            <w:r>
              <w:rPr>
                <w:rFonts w:hint="eastAsia" w:ascii="宋体" w:hAnsi="宋体"/>
                <w:b/>
                <w:bCs/>
                <w:snapToGrid w:val="0"/>
                <w:kern w:val="0"/>
                <w:szCs w:val="21"/>
              </w:rPr>
              <w:t>套</w:t>
            </w:r>
          </w:p>
        </w:tc>
        <w:tc>
          <w:tcPr>
            <w:tcW w:w="3820" w:type="dxa"/>
            <w:vAlign w:val="center"/>
          </w:tcPr>
          <w:p>
            <w:pPr>
              <w:spacing w:line="360" w:lineRule="auto"/>
              <w:jc w:val="left"/>
              <w:rPr>
                <w:rFonts w:ascii="新宋体" w:hAnsi="新宋体" w:eastAsia="新宋体"/>
                <w:b/>
                <w:bCs/>
                <w:snapToGrid w:val="0"/>
              </w:rPr>
            </w:pPr>
            <w:r>
              <w:rPr>
                <w:rFonts w:hint="eastAsia" w:ascii="宋体" w:hAnsi="宋体"/>
                <w:b/>
                <w:bCs/>
                <w:snapToGrid w:val="0"/>
                <w:kern w:val="0"/>
                <w:szCs w:val="21"/>
              </w:rPr>
              <w:t>安全漏洞检测模块、个人信息安全影响评估检测模块、测试终端</w:t>
            </w:r>
          </w:p>
        </w:tc>
      </w:tr>
    </w:tbl>
    <w:p>
      <w:pPr>
        <w:spacing w:line="360" w:lineRule="auto"/>
        <w:rPr>
          <w:rFonts w:ascii="新宋体" w:hAnsi="新宋体" w:eastAsia="新宋体"/>
        </w:rPr>
      </w:pPr>
      <w:r>
        <w:rPr>
          <w:rFonts w:hint="eastAsia" w:ascii="新宋体" w:hAnsi="新宋体" w:eastAsia="新宋体"/>
        </w:rPr>
        <w:t>备注：投标样品将作为验收产品的主要依据之一。</w:t>
      </w:r>
    </w:p>
    <w:p>
      <w:pPr>
        <w:rPr>
          <w:rFonts w:ascii="宋体" w:hAnsi="宋体"/>
          <w:bCs/>
          <w:color w:val="000000"/>
          <w:szCs w:val="21"/>
        </w:rPr>
      </w:pPr>
    </w:p>
    <w:p>
      <w:pPr>
        <w:pStyle w:val="3"/>
        <w:jc w:val="left"/>
        <w:rPr>
          <w:rFonts w:ascii="新宋体" w:hAnsi="新宋体" w:eastAsia="新宋体"/>
          <w:kern w:val="44"/>
          <w:sz w:val="30"/>
          <w:szCs w:val="30"/>
        </w:rPr>
      </w:pPr>
      <w:r>
        <w:rPr>
          <w:rFonts w:hint="eastAsia" w:ascii="新宋体" w:hAnsi="新宋体" w:eastAsia="新宋体"/>
          <w:kern w:val="44"/>
          <w:sz w:val="30"/>
          <w:szCs w:val="30"/>
        </w:rPr>
        <w:t>七、演示要求</w:t>
      </w:r>
    </w:p>
    <w:p>
      <w:pPr>
        <w:spacing w:line="360" w:lineRule="auto"/>
        <w:rPr>
          <w:rFonts w:ascii="新宋体" w:hAnsi="新宋体" w:eastAsia="新宋体"/>
        </w:rPr>
      </w:pPr>
      <w:r>
        <w:rPr>
          <w:rFonts w:hint="eastAsia" w:ascii="新宋体" w:hAnsi="新宋体" w:eastAsia="新宋体"/>
        </w:rPr>
        <w:t>（一）总体要求：</w:t>
      </w:r>
    </w:p>
    <w:p>
      <w:pPr>
        <w:spacing w:line="360" w:lineRule="auto"/>
        <w:rPr>
          <w:rFonts w:ascii="新宋体" w:hAnsi="新宋体" w:eastAsia="新宋体"/>
        </w:rPr>
      </w:pPr>
      <w:r>
        <w:rPr>
          <w:rFonts w:hint="eastAsia" w:ascii="新宋体" w:hAnsi="新宋体" w:eastAsia="新宋体"/>
        </w:rPr>
        <w:t>各投标人应按照招标公告规定的时间和地点参加现场演示。</w:t>
      </w:r>
    </w:p>
    <w:p>
      <w:pPr>
        <w:spacing w:line="360" w:lineRule="auto"/>
        <w:rPr>
          <w:rFonts w:ascii="新宋体" w:hAnsi="新宋体" w:eastAsia="新宋体"/>
        </w:rPr>
      </w:pPr>
      <w:r>
        <w:rPr>
          <w:rFonts w:hint="eastAsia" w:ascii="新宋体" w:hAnsi="新宋体" w:eastAsia="新宋体"/>
        </w:rPr>
        <w:t>演示地点提供电源、带VGA接口的液晶显示器及宽带上网环境（无WIFI环境），由投标人代表自带手提电脑、无线路由器、便携式服务器、U盘及其它能完成演示操作的设备（具体以投标人实际需要为准，但严禁携带手机等通讯工具）等进行演示。由于演示场地有限，建议勿携带过大设备进行演示。</w:t>
      </w:r>
    </w:p>
    <w:p>
      <w:pPr>
        <w:spacing w:line="360" w:lineRule="auto"/>
        <w:rPr>
          <w:rFonts w:ascii="新宋体" w:hAnsi="新宋体" w:eastAsia="新宋体"/>
        </w:rPr>
      </w:pPr>
      <w:r>
        <w:rPr>
          <w:rFonts w:hint="eastAsia" w:ascii="新宋体" w:hAnsi="新宋体" w:eastAsia="新宋体"/>
        </w:rPr>
        <w:t>每个投标人的现场演示时间不超过10分钟（演示期间评委将进行提问，并有权酌情延长时间），现场演示人员不得超过2人。</w:t>
      </w:r>
    </w:p>
    <w:p>
      <w:pPr>
        <w:spacing w:line="360" w:lineRule="auto"/>
        <w:rPr>
          <w:rFonts w:ascii="新宋体" w:hAnsi="新宋体" w:eastAsia="新宋体"/>
        </w:rPr>
      </w:pPr>
      <w:r>
        <w:rPr>
          <w:rFonts w:hint="eastAsia" w:ascii="新宋体" w:hAnsi="新宋体" w:eastAsia="新宋体"/>
        </w:rPr>
        <w:t>（二）具体程序：</w:t>
      </w:r>
    </w:p>
    <w:p>
      <w:pPr>
        <w:spacing w:line="360" w:lineRule="auto"/>
        <w:rPr>
          <w:rFonts w:ascii="新宋体" w:hAnsi="新宋体" w:eastAsia="新宋体"/>
        </w:rPr>
      </w:pPr>
      <w:r>
        <w:rPr>
          <w:rFonts w:hint="eastAsia" w:ascii="新宋体" w:hAnsi="新宋体" w:eastAsia="新宋体"/>
        </w:rPr>
        <w:t>1.现场演示人员须在招标公告规定的现场演示签到截止时间前，携带</w:t>
      </w:r>
      <w:r>
        <w:rPr>
          <w:rFonts w:hint="eastAsia" w:ascii="新宋体" w:hAnsi="新宋体" w:eastAsia="新宋体"/>
          <w:bCs/>
        </w:rPr>
        <w:t>法定代表人证明书（盖公章）、</w:t>
      </w:r>
      <w:r>
        <w:rPr>
          <w:rFonts w:hint="eastAsia" w:ascii="新宋体" w:hAnsi="新宋体" w:eastAsia="新宋体"/>
        </w:rPr>
        <w:t>授权委托书（盖公章）、现场演示人员的身份证原件和复印件，到达代理机构，按工作人员指引进行签到。</w:t>
      </w:r>
    </w:p>
    <w:p>
      <w:pPr>
        <w:spacing w:line="360" w:lineRule="auto"/>
        <w:rPr>
          <w:rFonts w:ascii="新宋体" w:hAnsi="新宋体" w:eastAsia="新宋体"/>
        </w:rPr>
      </w:pPr>
      <w:r>
        <w:rPr>
          <w:rFonts w:hint="eastAsia" w:ascii="新宋体" w:hAnsi="新宋体" w:eastAsia="新宋体"/>
        </w:rPr>
        <w:t>特别注意事项：（1）资料提供不齐全的，不予签到；（2）招标公告规定的截止时间后，不再受理签到；（3）未签到的人员，不能参与现场演示。</w:t>
      </w:r>
    </w:p>
    <w:p>
      <w:pPr>
        <w:spacing w:line="360" w:lineRule="auto"/>
        <w:rPr>
          <w:rFonts w:ascii="新宋体" w:hAnsi="新宋体" w:eastAsia="新宋体"/>
        </w:rPr>
      </w:pPr>
      <w:r>
        <w:rPr>
          <w:rFonts w:hint="eastAsia" w:ascii="新宋体" w:hAnsi="新宋体" w:eastAsia="新宋体"/>
        </w:rPr>
        <w:t>2.招标公告规定的现场演示签到截止时间后正式进行现场演示。现场演示正式开始前将进行身份核对；核对内容为现场演示人员提供的“授权委托书（盖公章）、现场演示人员的身份证原件和复印件”。资料不齐全的人员，不得参与现场演示。</w:t>
      </w:r>
    </w:p>
    <w:p>
      <w:pPr>
        <w:spacing w:line="360" w:lineRule="auto"/>
        <w:rPr>
          <w:rFonts w:ascii="新宋体" w:hAnsi="新宋体" w:eastAsia="新宋体"/>
        </w:rPr>
      </w:pPr>
      <w:r>
        <w:rPr>
          <w:rFonts w:hint="eastAsia" w:ascii="新宋体" w:hAnsi="新宋体" w:eastAsia="新宋体"/>
        </w:rPr>
        <w:t>（三）其它要求：</w:t>
      </w:r>
    </w:p>
    <w:p>
      <w:pPr>
        <w:spacing w:line="360" w:lineRule="auto"/>
        <w:rPr>
          <w:rFonts w:ascii="新宋体" w:hAnsi="新宋体" w:eastAsia="新宋体"/>
        </w:rPr>
      </w:pPr>
      <w:r>
        <w:rPr>
          <w:rFonts w:hint="eastAsia" w:ascii="新宋体" w:hAnsi="新宋体" w:eastAsia="新宋体"/>
        </w:rPr>
        <w:t>1.参加本次现场演示的各投标人，视为认可本次现场演示的程序和环境能够满足现场演示基本条件，并对本现场演示方案要求内的各项规定不做事后异议，且能够严格遵守相关规定。</w:t>
      </w:r>
    </w:p>
    <w:p>
      <w:pPr>
        <w:spacing w:line="360" w:lineRule="auto"/>
        <w:rPr>
          <w:rFonts w:ascii="新宋体" w:hAnsi="新宋体" w:eastAsia="新宋体"/>
        </w:rPr>
      </w:pPr>
      <w:r>
        <w:rPr>
          <w:rFonts w:hint="eastAsia" w:ascii="新宋体" w:hAnsi="新宋体" w:eastAsia="新宋体"/>
        </w:rPr>
        <w:t>2.现场演示在正式评标环节前进行。现场演示原则上按签到顺序依次进行（经评委同意，可以酌情进行调整）。一个投标人一次性现场演示完毕。一个投标人在进行现场演示时，其他投标人不得进入现场。现场演示期间，评委可视情况现场提问。</w:t>
      </w:r>
    </w:p>
    <w:p>
      <w:pPr>
        <w:spacing w:line="360" w:lineRule="auto"/>
        <w:rPr>
          <w:rFonts w:ascii="新宋体" w:hAnsi="新宋体" w:eastAsia="新宋体"/>
        </w:rPr>
      </w:pPr>
      <w:r>
        <w:rPr>
          <w:rFonts w:hint="eastAsia" w:ascii="新宋体" w:hAnsi="新宋体" w:eastAsia="新宋体"/>
        </w:rPr>
        <w:t>3.投标人对本次现场演示条件的不确定性疑虑应在现场演示开始前做书面陈述，若疑虑不能完全消除，并认为现场演示结果仍会产生误判，则可退出现场演示。</w:t>
      </w:r>
    </w:p>
    <w:p>
      <w:pPr>
        <w:spacing w:line="360" w:lineRule="auto"/>
        <w:rPr>
          <w:rFonts w:ascii="新宋体" w:hAnsi="新宋体" w:eastAsia="新宋体"/>
        </w:rPr>
      </w:pPr>
      <w:r>
        <w:rPr>
          <w:rFonts w:hint="eastAsia" w:ascii="新宋体" w:hAnsi="新宋体" w:eastAsia="新宋体"/>
        </w:rPr>
        <w:t>4.参加本次现场演示的各投标人，视为同意承担其演示结果不确定性的风险，即同意专家以现场演示情况的判定结论。</w:t>
      </w:r>
    </w:p>
    <w:p>
      <w:pPr>
        <w:spacing w:line="360" w:lineRule="auto"/>
        <w:rPr>
          <w:rFonts w:ascii="新宋体" w:hAnsi="新宋体" w:eastAsia="新宋体"/>
        </w:rPr>
      </w:pPr>
      <w:r>
        <w:rPr>
          <w:rFonts w:hint="eastAsia" w:ascii="新宋体" w:hAnsi="新宋体" w:eastAsia="新宋体"/>
        </w:rPr>
        <w:t>5.各项费用由投标人自理、风险自负。</w:t>
      </w:r>
    </w:p>
    <w:p>
      <w:pPr>
        <w:spacing w:line="360" w:lineRule="auto"/>
        <w:rPr>
          <w:rFonts w:ascii="新宋体" w:hAnsi="新宋体" w:eastAsia="新宋体"/>
          <w:b/>
          <w:bCs/>
        </w:rPr>
      </w:pPr>
      <w:r>
        <w:rPr>
          <w:rFonts w:hint="eastAsia" w:ascii="新宋体" w:hAnsi="新宋体" w:eastAsia="新宋体"/>
          <w:b/>
          <w:bCs/>
        </w:rPr>
        <w:t>（四）演示内容：</w:t>
      </w:r>
    </w:p>
    <w:p>
      <w:pPr>
        <w:pStyle w:val="5"/>
        <w:spacing w:before="60" w:beforeLines="25" w:after="60" w:afterLines="25" w:line="360" w:lineRule="auto"/>
        <w:ind w:firstLine="0"/>
        <w:rPr>
          <w:rFonts w:ascii="新宋体" w:hAnsi="新宋体" w:eastAsia="新宋体"/>
          <w:b/>
          <w:bCs/>
          <w:lang w:eastAsia="zh-Hans"/>
        </w:rPr>
      </w:pPr>
      <w:r>
        <w:rPr>
          <w:rFonts w:ascii="新宋体" w:hAnsi="新宋体" w:eastAsia="新宋体"/>
          <w:b/>
          <w:bCs/>
          <w:lang w:eastAsia="zh-Hans"/>
        </w:rPr>
        <w:t xml:space="preserve">1. </w:t>
      </w:r>
      <w:r>
        <w:rPr>
          <w:rFonts w:hint="eastAsia" w:ascii="新宋体" w:hAnsi="新宋体" w:eastAsia="新宋体"/>
          <w:b/>
          <w:bCs/>
          <w:lang w:eastAsia="zh-Hans"/>
        </w:rPr>
        <w:t>安全漏洞演示</w:t>
      </w:r>
      <w:r>
        <w:rPr>
          <w:rFonts w:ascii="新宋体" w:hAnsi="新宋体" w:eastAsia="新宋体"/>
          <w:b/>
          <w:bCs/>
          <w:lang w:eastAsia="zh-Hans"/>
        </w:rPr>
        <w:t>:</w:t>
      </w:r>
      <w:r>
        <w:rPr>
          <w:rFonts w:hint="eastAsia" w:ascii="新宋体" w:hAnsi="新宋体" w:eastAsia="新宋体"/>
          <w:b/>
          <w:bCs/>
          <w:lang w:eastAsia="zh-Hans"/>
        </w:rPr>
        <w:t>支持</w:t>
      </w:r>
      <w:r>
        <w:rPr>
          <w:rFonts w:ascii="新宋体" w:hAnsi="新宋体" w:eastAsia="新宋体"/>
          <w:b/>
          <w:bCs/>
          <w:lang w:eastAsia="zh-Hans"/>
        </w:rPr>
        <w:t>Android/iOS/</w:t>
      </w:r>
      <w:r>
        <w:rPr>
          <w:rFonts w:hint="eastAsia" w:ascii="新宋体" w:hAnsi="新宋体" w:eastAsia="新宋体"/>
          <w:b/>
          <w:bCs/>
          <w:lang w:eastAsia="zh-Hans"/>
        </w:rPr>
        <w:t>鸿蒙应用和微信公众号、小程序的测试，以及</w:t>
      </w:r>
      <w:r>
        <w:rPr>
          <w:rFonts w:ascii="新宋体" w:hAnsi="新宋体" w:eastAsia="新宋体"/>
          <w:b/>
          <w:bCs/>
          <w:lang w:eastAsia="zh-Hans"/>
        </w:rPr>
        <w:t>WEB</w:t>
      </w:r>
      <w:r>
        <w:rPr>
          <w:rFonts w:hint="eastAsia" w:ascii="新宋体" w:hAnsi="新宋体" w:eastAsia="新宋体"/>
          <w:b/>
          <w:bCs/>
          <w:lang w:eastAsia="zh-Hans"/>
        </w:rPr>
        <w:t>主动和</w:t>
      </w:r>
      <w:r>
        <w:rPr>
          <w:rFonts w:ascii="新宋体" w:hAnsi="新宋体" w:eastAsia="新宋体"/>
          <w:b/>
          <w:bCs/>
          <w:lang w:eastAsia="zh-Hans"/>
        </w:rPr>
        <w:t>WEB</w:t>
      </w:r>
      <w:r>
        <w:rPr>
          <w:rFonts w:hint="eastAsia" w:ascii="新宋体" w:hAnsi="新宋体" w:eastAsia="新宋体"/>
          <w:b/>
          <w:bCs/>
          <w:lang w:eastAsia="zh-Hans"/>
        </w:rPr>
        <w:t>被动测试。</w:t>
      </w:r>
    </w:p>
    <w:p>
      <w:pPr>
        <w:pStyle w:val="5"/>
        <w:spacing w:before="60" w:beforeLines="25" w:after="60" w:afterLines="25" w:line="360" w:lineRule="auto"/>
        <w:ind w:firstLine="0"/>
        <w:rPr>
          <w:rFonts w:ascii="新宋体" w:hAnsi="新宋体" w:eastAsia="新宋体"/>
          <w:b/>
          <w:bCs/>
          <w:lang w:eastAsia="zh-Hans"/>
        </w:rPr>
      </w:pPr>
      <w:r>
        <w:rPr>
          <w:rFonts w:ascii="新宋体" w:hAnsi="新宋体" w:eastAsia="新宋体"/>
          <w:b/>
          <w:bCs/>
          <w:lang w:eastAsia="zh-Hans"/>
        </w:rPr>
        <w:t xml:space="preserve">2. </w:t>
      </w:r>
      <w:r>
        <w:rPr>
          <w:rFonts w:hint="eastAsia" w:ascii="新宋体" w:hAnsi="新宋体" w:eastAsia="新宋体"/>
          <w:b/>
          <w:bCs/>
          <w:lang w:eastAsia="zh-Hans"/>
        </w:rPr>
        <w:t>图形验证码测试：可对被测</w:t>
      </w:r>
      <w:r>
        <w:rPr>
          <w:rFonts w:ascii="新宋体" w:hAnsi="新宋体" w:eastAsia="新宋体"/>
          <w:b/>
          <w:bCs/>
          <w:lang w:eastAsia="zh-Hans"/>
        </w:rPr>
        <w:t xml:space="preserve"> APP </w:t>
      </w:r>
      <w:r>
        <w:rPr>
          <w:rFonts w:hint="eastAsia" w:ascii="新宋体" w:hAnsi="新宋体" w:eastAsia="新宋体"/>
          <w:b/>
          <w:bCs/>
          <w:lang w:eastAsia="zh-Hans"/>
        </w:rPr>
        <w:t>的身份鉴别图形验证码进行截图并上传后台服务器自动识别。可人工参与图像验证码标记，系统后台自动比对分析输出图形验证码安全分析结果。</w:t>
      </w:r>
    </w:p>
    <w:p>
      <w:pPr>
        <w:pStyle w:val="5"/>
        <w:spacing w:before="60" w:beforeLines="25" w:after="60" w:afterLines="25" w:line="360" w:lineRule="auto"/>
        <w:ind w:firstLine="0"/>
        <w:rPr>
          <w:rFonts w:ascii="新宋体" w:hAnsi="新宋体" w:eastAsia="新宋体"/>
          <w:b/>
          <w:bCs/>
          <w:lang w:eastAsia="zh-Hans"/>
        </w:rPr>
      </w:pPr>
      <w:r>
        <w:rPr>
          <w:rFonts w:ascii="新宋体" w:hAnsi="新宋体" w:eastAsia="新宋体"/>
          <w:b/>
          <w:bCs/>
          <w:lang w:eastAsia="zh-Hans"/>
        </w:rPr>
        <w:t>3</w:t>
      </w:r>
      <w:r>
        <w:rPr>
          <w:rFonts w:hint="eastAsia" w:ascii="新宋体" w:hAnsi="新宋体" w:eastAsia="新宋体"/>
          <w:b/>
          <w:bCs/>
          <w:lang w:eastAsia="zh-Hans"/>
        </w:rPr>
        <w:t>、合规检测模式：支持自动、半自动、手动测试模式等。</w:t>
      </w:r>
    </w:p>
    <w:p>
      <w:pPr>
        <w:rPr>
          <w:b/>
          <w:szCs w:val="21"/>
        </w:rPr>
      </w:pPr>
    </w:p>
    <w:p>
      <w:pPr>
        <w:pStyle w:val="3"/>
        <w:jc w:val="left"/>
        <w:rPr>
          <w:rFonts w:ascii="新宋体" w:hAnsi="新宋体" w:eastAsia="新宋体"/>
          <w:kern w:val="44"/>
          <w:sz w:val="30"/>
          <w:szCs w:val="30"/>
        </w:rPr>
      </w:pPr>
      <w:r>
        <w:rPr>
          <w:rFonts w:hint="eastAsia" w:ascii="新宋体" w:hAnsi="新宋体" w:eastAsia="新宋体"/>
          <w:kern w:val="44"/>
          <w:sz w:val="30"/>
          <w:szCs w:val="30"/>
        </w:rPr>
        <w:t>八、商务需求</w:t>
      </w:r>
    </w:p>
    <w:p>
      <w:pPr>
        <w:spacing w:line="360" w:lineRule="auto"/>
        <w:rPr>
          <w:rFonts w:ascii="新宋体" w:hAnsi="新宋体" w:eastAsia="新宋体"/>
          <w:b/>
        </w:rPr>
      </w:pPr>
      <w:r>
        <w:rPr>
          <w:rFonts w:hint="eastAsia" w:ascii="新宋体" w:hAnsi="新宋体" w:eastAsia="新宋体"/>
          <w:b/>
        </w:rPr>
        <w:t>说明：1、带“</w:t>
      </w:r>
      <w:r>
        <w:rPr>
          <w:rFonts w:hint="eastAsia" w:ascii="新宋体" w:hAnsi="新宋体" w:eastAsia="新宋体" w:cs="宋体"/>
          <w:b/>
        </w:rPr>
        <w:t>★</w:t>
      </w:r>
      <w:r>
        <w:rPr>
          <w:rFonts w:hint="eastAsia" w:ascii="新宋体" w:hAnsi="新宋体" w:eastAsia="新宋体"/>
          <w:b/>
        </w:rPr>
        <w:t>”指标项为实质性条款，如出现负偏离，将被视为未实质性满足招标文件要求作投标无效处理。</w:t>
      </w:r>
    </w:p>
    <w:p>
      <w:pPr>
        <w:spacing w:line="360" w:lineRule="auto"/>
        <w:rPr>
          <w:rFonts w:ascii="新宋体" w:hAnsi="新宋体" w:eastAsia="新宋体"/>
          <w:b/>
        </w:rPr>
      </w:pPr>
      <w:r>
        <w:rPr>
          <w:rFonts w:hint="eastAsia" w:ascii="新宋体" w:hAnsi="新宋体" w:eastAsia="新宋体"/>
          <w:b/>
        </w:rPr>
        <w:t>2、评分时，如对一项招标商务需求（以划分框为准，一个划分框是作为一项招标商务需求）中的内容存在两处（或以上）负偏离的，在评分时只作一项负偏离扣分。</w:t>
      </w:r>
    </w:p>
    <w:tbl>
      <w:tblPr>
        <w:tblStyle w:val="8"/>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701"/>
        <w:gridCol w:w="7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序号</w:t>
            </w:r>
          </w:p>
        </w:tc>
        <w:tc>
          <w:tcPr>
            <w:tcW w:w="1701"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目录</w:t>
            </w:r>
          </w:p>
        </w:tc>
        <w:tc>
          <w:tcPr>
            <w:tcW w:w="7233"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649" w:type="dxa"/>
            <w:gridSpan w:val="3"/>
            <w:vAlign w:val="center"/>
          </w:tcPr>
          <w:p>
            <w:pPr>
              <w:spacing w:line="276" w:lineRule="auto"/>
              <w:rPr>
                <w:rFonts w:ascii="新宋体" w:hAnsi="新宋体" w:eastAsia="新宋体"/>
                <w:b/>
                <w:szCs w:val="21"/>
              </w:rPr>
            </w:pPr>
            <w:r>
              <w:rPr>
                <w:rFonts w:hint="eastAsia" w:ascii="新宋体" w:hAnsi="新宋体" w:eastAsia="新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5"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1</w:t>
            </w:r>
          </w:p>
        </w:tc>
        <w:tc>
          <w:tcPr>
            <w:tcW w:w="1701" w:type="dxa"/>
            <w:vAlign w:val="center"/>
          </w:tcPr>
          <w:p>
            <w:pPr>
              <w:spacing w:line="276" w:lineRule="auto"/>
              <w:jc w:val="center"/>
              <w:rPr>
                <w:rFonts w:ascii="新宋体" w:hAnsi="新宋体" w:eastAsia="新宋体"/>
                <w:szCs w:val="21"/>
              </w:rPr>
            </w:pPr>
            <w:r>
              <w:rPr>
                <w:rFonts w:hint="eastAsia" w:ascii="新宋体" w:hAnsi="新宋体" w:eastAsia="新宋体"/>
                <w:color w:val="000000" w:themeColor="text1"/>
                <w14:textFill>
                  <w14:solidFill>
                    <w14:schemeClr w14:val="tx1"/>
                  </w14:solidFill>
                </w14:textFill>
              </w:rPr>
              <w:t>维修响应及故障解决时间</w:t>
            </w:r>
          </w:p>
        </w:tc>
        <w:tc>
          <w:tcPr>
            <w:tcW w:w="7233" w:type="dxa"/>
            <w:vAlign w:val="center"/>
          </w:tcPr>
          <w:p>
            <w:pPr>
              <w:spacing w:line="276" w:lineRule="auto"/>
              <w:rPr>
                <w:rFonts w:ascii="新宋体" w:hAnsi="新宋体" w:eastAsia="新宋体"/>
                <w:b/>
                <w:szCs w:val="21"/>
              </w:rPr>
            </w:pPr>
            <w:r>
              <w:rPr>
                <w:rFonts w:hint="eastAsia" w:ascii="新宋体" w:hAnsi="新宋体" w:eastAsia="新宋体"/>
                <w:bCs/>
                <w:color w:val="000000" w:themeColor="text1"/>
                <w:szCs w:val="21"/>
                <w14:textFill>
                  <w14:solidFill>
                    <w14:schemeClr w14:val="tx1"/>
                  </w14:solidFill>
                </w14:textFill>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5"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2</w:t>
            </w:r>
          </w:p>
        </w:tc>
        <w:tc>
          <w:tcPr>
            <w:tcW w:w="1701" w:type="dxa"/>
            <w:vAlign w:val="center"/>
          </w:tcPr>
          <w:p>
            <w:pPr>
              <w:spacing w:line="276" w:lineRule="auto"/>
              <w:jc w:val="center"/>
              <w:rPr>
                <w:rFonts w:ascii="新宋体" w:hAnsi="新宋体" w:eastAsia="新宋体"/>
                <w:szCs w:val="21"/>
              </w:rPr>
            </w:pPr>
            <w:r>
              <w:rPr>
                <w:rFonts w:hint="eastAsia" w:ascii="新宋体" w:hAnsi="新宋体" w:eastAsia="新宋体"/>
                <w:color w:val="000000" w:themeColor="text1"/>
                <w:lang w:eastAsia="zh-Hans"/>
                <w14:textFill>
                  <w14:solidFill>
                    <w14:schemeClr w14:val="tx1"/>
                  </w14:solidFill>
                </w14:textFill>
              </w:rPr>
              <w:t>技术解答</w:t>
            </w:r>
          </w:p>
        </w:tc>
        <w:tc>
          <w:tcPr>
            <w:tcW w:w="7233" w:type="dxa"/>
            <w:vAlign w:val="center"/>
          </w:tcPr>
          <w:p>
            <w:pPr>
              <w:spacing w:line="276" w:lineRule="auto"/>
              <w:rPr>
                <w:rFonts w:ascii="新宋体" w:hAnsi="新宋体" w:eastAsia="新宋体"/>
                <w:b/>
                <w:szCs w:val="21"/>
              </w:rPr>
            </w:pPr>
            <w:r>
              <w:rPr>
                <w:rFonts w:hint="eastAsia" w:ascii="新宋体" w:hAnsi="新宋体" w:eastAsia="新宋体"/>
                <w:bCs/>
                <w:color w:val="000000" w:themeColor="text1"/>
                <w:szCs w:val="21"/>
                <w:lang w:eastAsia="zh-Hans"/>
                <w14:textFill>
                  <w14:solidFill>
                    <w14:schemeClr w14:val="tx1"/>
                  </w14:solidFill>
                </w14:textFill>
              </w:rPr>
              <w:t>对检测结果进行解释；系统发生技术问题导致无法检测时，支持团队需在30分钟内提供现场支持，4小时内解决问题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15"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3</w:t>
            </w:r>
          </w:p>
        </w:tc>
        <w:tc>
          <w:tcPr>
            <w:tcW w:w="1701" w:type="dxa"/>
            <w:vAlign w:val="center"/>
          </w:tcPr>
          <w:p>
            <w:pPr>
              <w:spacing w:line="276" w:lineRule="auto"/>
              <w:jc w:val="center"/>
              <w:rPr>
                <w:rFonts w:ascii="新宋体" w:hAnsi="新宋体" w:eastAsia="新宋体"/>
                <w:b/>
                <w:szCs w:val="21"/>
              </w:rPr>
            </w:pPr>
            <w:r>
              <w:rPr>
                <w:rFonts w:hint="eastAsia" w:ascii="新宋体" w:hAnsi="新宋体" w:eastAsia="新宋体"/>
                <w:color w:val="000000" w:themeColor="text1"/>
                <w:lang w:eastAsia="zh-Hans"/>
                <w14:textFill>
                  <w14:solidFill>
                    <w14:schemeClr w14:val="tx1"/>
                  </w14:solidFill>
                </w14:textFill>
              </w:rPr>
              <w:t>技术培训</w:t>
            </w:r>
          </w:p>
        </w:tc>
        <w:tc>
          <w:tcPr>
            <w:tcW w:w="7233" w:type="dxa"/>
            <w:vAlign w:val="center"/>
          </w:tcPr>
          <w:p>
            <w:pPr>
              <w:spacing w:line="276" w:lineRule="auto"/>
              <w:rPr>
                <w:rFonts w:ascii="新宋体" w:hAnsi="新宋体" w:eastAsia="新宋体"/>
                <w:b/>
                <w:szCs w:val="21"/>
              </w:rPr>
            </w:pPr>
            <w:r>
              <w:rPr>
                <w:rFonts w:hint="eastAsia" w:ascii="新宋体" w:hAnsi="新宋体" w:eastAsia="新宋体"/>
                <w:bCs/>
                <w:color w:val="000000" w:themeColor="text1"/>
                <w:szCs w:val="21"/>
                <w:lang w:eastAsia="zh-Hans"/>
                <w14:textFill>
                  <w14:solidFill>
                    <w14:schemeClr w14:val="tx1"/>
                  </w14:solidFill>
                </w14:textFill>
              </w:rPr>
              <w:t>提供至少</w:t>
            </w:r>
            <w:r>
              <w:rPr>
                <w:rFonts w:ascii="新宋体" w:hAnsi="新宋体" w:eastAsia="新宋体"/>
                <w:bCs/>
                <w:color w:val="000000" w:themeColor="text1"/>
                <w:szCs w:val="21"/>
                <w:lang w:eastAsia="zh-Hans"/>
                <w14:textFill>
                  <w14:solidFill>
                    <w14:schemeClr w14:val="tx1"/>
                  </w14:solidFill>
                </w14:textFill>
              </w:rPr>
              <w:t>2</w:t>
            </w:r>
            <w:r>
              <w:rPr>
                <w:rFonts w:hint="eastAsia" w:ascii="新宋体" w:hAnsi="新宋体" w:eastAsia="新宋体"/>
                <w:bCs/>
                <w:color w:val="000000" w:themeColor="text1"/>
                <w:szCs w:val="21"/>
                <w:lang w:eastAsia="zh-Hans"/>
                <w14:textFill>
                  <w14:solidFill>
                    <w14:schemeClr w14:val="tx1"/>
                  </w14:solidFill>
                </w14:textFill>
              </w:rPr>
              <w:t>场培训，采取现场演示和功能讲解的方式，协助掌握工具的参数配置、功能应用、故障诊断和日常管理，提供对技术工具手段的认识程度、应用能力和维护能力。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15"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4</w:t>
            </w:r>
          </w:p>
        </w:tc>
        <w:tc>
          <w:tcPr>
            <w:tcW w:w="1701" w:type="dxa"/>
            <w:vAlign w:val="center"/>
          </w:tcPr>
          <w:p>
            <w:pPr>
              <w:spacing w:line="276" w:lineRule="auto"/>
              <w:jc w:val="center"/>
              <w:rPr>
                <w:rFonts w:ascii="新宋体" w:hAnsi="新宋体" w:eastAsia="新宋体"/>
                <w:szCs w:val="21"/>
              </w:rPr>
            </w:pPr>
            <w:r>
              <w:rPr>
                <w:rFonts w:hint="eastAsia" w:ascii="新宋体" w:hAnsi="新宋体" w:eastAsia="新宋体"/>
                <w:color w:val="000000" w:themeColor="text1"/>
                <w:lang w:eastAsia="zh-Hans"/>
                <w14:textFill>
                  <w14:solidFill>
                    <w14:schemeClr w14:val="tx1"/>
                  </w14:solidFill>
                </w14:textFill>
              </w:rPr>
              <w:t>现场服务</w:t>
            </w:r>
          </w:p>
        </w:tc>
        <w:tc>
          <w:tcPr>
            <w:tcW w:w="7233" w:type="dxa"/>
            <w:vAlign w:val="center"/>
          </w:tcPr>
          <w:p>
            <w:pPr>
              <w:spacing w:line="276" w:lineRule="auto"/>
              <w:rPr>
                <w:rFonts w:ascii="新宋体" w:hAnsi="新宋体" w:eastAsia="新宋体"/>
                <w:bCs/>
                <w:szCs w:val="21"/>
              </w:rPr>
            </w:pPr>
            <w:r>
              <w:rPr>
                <w:rFonts w:hint="eastAsia" w:ascii="新宋体" w:hAnsi="新宋体" w:eastAsia="新宋体"/>
                <w:bCs/>
                <w:color w:val="000000" w:themeColor="text1"/>
                <w:szCs w:val="21"/>
                <w:lang w:eastAsia="zh-Hans"/>
                <w14:textFill>
                  <w14:solidFill>
                    <w14:schemeClr w14:val="tx1"/>
                  </w14:solidFill>
                </w14:textFill>
              </w:rPr>
              <w:t>保修期内，</w:t>
            </w:r>
            <w:r>
              <w:rPr>
                <w:rFonts w:hint="eastAsia" w:ascii="新宋体" w:hAnsi="新宋体" w:eastAsia="新宋体" w:cs="宋体"/>
                <w:color w:val="000000" w:themeColor="text1"/>
                <w:szCs w:val="21"/>
                <w14:textFill>
                  <w14:solidFill>
                    <w14:schemeClr w14:val="tx1"/>
                  </w14:solidFill>
                </w14:textFill>
              </w:rPr>
              <w:t>投标人应提供系统</w:t>
            </w:r>
            <w:r>
              <w:rPr>
                <w:rFonts w:hint="eastAsia" w:ascii="新宋体" w:hAnsi="新宋体" w:eastAsia="新宋体" w:cs="宋体"/>
                <w:color w:val="000000" w:themeColor="text1"/>
                <w:szCs w:val="21"/>
                <w:lang w:eastAsia="zh-Hans"/>
                <w14:textFill>
                  <w14:solidFill>
                    <w14:schemeClr w14:val="tx1"/>
                  </w14:solidFill>
                </w14:textFill>
              </w:rPr>
              <w:t>现场</w:t>
            </w:r>
            <w:r>
              <w:rPr>
                <w:rFonts w:hint="eastAsia" w:ascii="新宋体" w:hAnsi="新宋体" w:eastAsia="新宋体" w:cs="宋体"/>
                <w:color w:val="000000" w:themeColor="text1"/>
                <w:szCs w:val="21"/>
                <w14:textFill>
                  <w14:solidFill>
                    <w14:schemeClr w14:val="tx1"/>
                  </w14:solidFill>
                </w14:textFill>
              </w:rPr>
              <w:t>技术服务支持</w:t>
            </w:r>
            <w:r>
              <w:rPr>
                <w:rFonts w:hint="eastAsia" w:ascii="新宋体" w:hAnsi="新宋体" w:eastAsia="新宋体" w:cs="宋体"/>
                <w:color w:val="000000" w:themeColor="text1"/>
                <w:szCs w:val="21"/>
                <w:lang w:eastAsia="zh-Hans"/>
                <w14:textFill>
                  <w14:solidFill>
                    <w14:schemeClr w14:val="tx1"/>
                  </w14:solidFill>
                </w14:textFill>
              </w:rPr>
              <w:t>，每年不超过</w:t>
            </w:r>
            <w:r>
              <w:rPr>
                <w:rFonts w:ascii="新宋体" w:hAnsi="新宋体" w:eastAsia="新宋体" w:cs="宋体"/>
                <w:color w:val="000000" w:themeColor="text1"/>
                <w:szCs w:val="21"/>
                <w:lang w:eastAsia="zh-Hans"/>
                <w14:textFill>
                  <w14:solidFill>
                    <w14:schemeClr w14:val="tx1"/>
                  </w14:solidFill>
                </w14:textFill>
              </w:rPr>
              <w:t>20</w:t>
            </w:r>
            <w:r>
              <w:rPr>
                <w:rFonts w:hint="eastAsia" w:ascii="新宋体" w:hAnsi="新宋体" w:eastAsia="新宋体" w:cs="宋体"/>
                <w:color w:val="000000" w:themeColor="text1"/>
                <w:szCs w:val="21"/>
                <w:lang w:eastAsia="zh-Hans"/>
                <w14:textFill>
                  <w14:solidFill>
                    <w14:schemeClr w14:val="tx1"/>
                  </w14:solidFill>
                </w14:textFill>
              </w:rPr>
              <w:t>次，协助完成相应项目的检测工作。</w:t>
            </w:r>
            <w:r>
              <w:rPr>
                <w:rFonts w:hint="eastAsia" w:ascii="新宋体" w:hAnsi="新宋体" w:eastAsia="新宋体" w:cs="宋体"/>
                <w:color w:val="000000" w:themeColor="text1"/>
                <w:szCs w:val="21"/>
                <w14:textFill>
                  <w14:solidFill>
                    <w14:schemeClr w14:val="tx1"/>
                  </w14:solidFill>
                </w14:textFill>
              </w:rPr>
              <w:t>并应</w:t>
            </w:r>
            <w:r>
              <w:rPr>
                <w:rFonts w:hint="eastAsia" w:ascii="新宋体" w:hAnsi="新宋体" w:eastAsia="新宋体" w:cs="宋体"/>
                <w:color w:val="000000" w:themeColor="text1"/>
                <w:szCs w:val="21"/>
                <w:lang w:eastAsia="zh-Hans"/>
                <w14:textFill>
                  <w14:solidFill>
                    <w14:schemeClr w14:val="tx1"/>
                  </w14:solidFill>
                </w14:textFill>
              </w:rPr>
              <w:t>根据招标人工作需要，安排技术人员辅助完成检测报告。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649" w:type="dxa"/>
            <w:gridSpan w:val="3"/>
            <w:vAlign w:val="center"/>
          </w:tcPr>
          <w:p>
            <w:pPr>
              <w:spacing w:line="276" w:lineRule="auto"/>
              <w:rPr>
                <w:rFonts w:ascii="新宋体" w:hAnsi="新宋体" w:eastAsia="新宋体"/>
                <w:b/>
                <w:szCs w:val="21"/>
              </w:rPr>
            </w:pPr>
            <w:r>
              <w:rPr>
                <w:rFonts w:hint="eastAsia" w:ascii="新宋体" w:hAnsi="新宋体" w:eastAsia="新宋体"/>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5"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1</w:t>
            </w:r>
          </w:p>
        </w:tc>
        <w:tc>
          <w:tcPr>
            <w:tcW w:w="1701" w:type="dxa"/>
            <w:vAlign w:val="center"/>
          </w:tcPr>
          <w:p>
            <w:pPr>
              <w:spacing w:line="276" w:lineRule="auto"/>
              <w:jc w:val="center"/>
              <w:rPr>
                <w:rFonts w:ascii="新宋体" w:hAnsi="新宋体" w:eastAsia="新宋体"/>
                <w:b/>
                <w:szCs w:val="21"/>
              </w:rPr>
            </w:pPr>
            <w:r>
              <w:rPr>
                <w:rFonts w:hint="eastAsia" w:ascii="新宋体" w:hAnsi="新宋体" w:eastAsia="新宋体"/>
                <w:color w:val="000000" w:themeColor="text1"/>
                <w14:textFill>
                  <w14:solidFill>
                    <w14:schemeClr w14:val="tx1"/>
                  </w14:solidFill>
                </w14:textFill>
              </w:rPr>
              <w:t>维修响应</w:t>
            </w:r>
          </w:p>
        </w:tc>
        <w:tc>
          <w:tcPr>
            <w:tcW w:w="7233" w:type="dxa"/>
            <w:vAlign w:val="center"/>
          </w:tcPr>
          <w:p>
            <w:pPr>
              <w:spacing w:line="276" w:lineRule="auto"/>
              <w:rPr>
                <w:rFonts w:ascii="新宋体" w:hAnsi="新宋体" w:eastAsia="新宋体"/>
                <w:b/>
                <w:szCs w:val="21"/>
              </w:rPr>
            </w:pPr>
            <w:r>
              <w:rPr>
                <w:rFonts w:hint="eastAsia" w:ascii="新宋体" w:hAnsi="新宋体" w:eastAsia="新宋体" w:cs="宋体"/>
                <w:color w:val="000000" w:themeColor="text1"/>
                <w:szCs w:val="21"/>
                <w14:textFill>
                  <w14:solidFill>
                    <w14:schemeClr w14:val="tx1"/>
                  </w14:solidFill>
                </w14:textFill>
              </w:rPr>
              <w:t>投标人保证对发生故障的合同设备按照优惠价格进行修理和技术服务。如果合同设备的性能和质量与合同规定不符或出现质量问题，投标人应予以免费更换或修理，如因此造成招标人损失，由投标人承担</w:t>
            </w:r>
            <w:r>
              <w:rPr>
                <w:rFonts w:hint="eastAsia" w:ascii="新宋体" w:hAnsi="新宋体" w:eastAsia="新宋体" w:cs="宋体"/>
                <w:color w:val="000000" w:themeColor="text1"/>
                <w:szCs w:val="21"/>
                <w:lang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5"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2</w:t>
            </w:r>
          </w:p>
        </w:tc>
        <w:tc>
          <w:tcPr>
            <w:tcW w:w="1701" w:type="dxa"/>
            <w:vAlign w:val="center"/>
          </w:tcPr>
          <w:p>
            <w:pPr>
              <w:spacing w:line="276" w:lineRule="auto"/>
              <w:jc w:val="center"/>
              <w:rPr>
                <w:rFonts w:ascii="新宋体" w:hAnsi="新宋体" w:eastAsia="新宋体"/>
                <w:b/>
                <w:szCs w:val="21"/>
              </w:rPr>
            </w:pPr>
            <w:r>
              <w:rPr>
                <w:rFonts w:hint="eastAsia" w:ascii="新宋体" w:hAnsi="新宋体" w:eastAsia="新宋体"/>
                <w:bCs/>
                <w:color w:val="000000" w:themeColor="text1"/>
                <w:lang w:eastAsia="zh-Hans"/>
                <w14:textFill>
                  <w14:solidFill>
                    <w14:schemeClr w14:val="tx1"/>
                  </w14:solidFill>
                </w14:textFill>
              </w:rPr>
              <w:t>系统升级</w:t>
            </w:r>
          </w:p>
        </w:tc>
        <w:tc>
          <w:tcPr>
            <w:tcW w:w="7233" w:type="dxa"/>
            <w:vAlign w:val="center"/>
          </w:tcPr>
          <w:p>
            <w:pPr>
              <w:spacing w:line="276" w:lineRule="auto"/>
              <w:rPr>
                <w:rFonts w:ascii="新宋体" w:hAnsi="新宋体" w:eastAsia="新宋体"/>
                <w:b/>
                <w:szCs w:val="21"/>
              </w:rPr>
            </w:pPr>
            <w:r>
              <w:rPr>
                <w:rFonts w:hint="eastAsia" w:ascii="新宋体" w:hAnsi="新宋体" w:eastAsia="新宋体"/>
                <w:bCs/>
                <w:color w:val="000000" w:themeColor="text1"/>
                <w:szCs w:val="21"/>
                <w:lang w:eastAsia="zh-Hans"/>
                <w14:textFill>
                  <w14:solidFill>
                    <w14:schemeClr w14:val="tx1"/>
                  </w14:solidFill>
                </w14:textFill>
              </w:rPr>
              <w:t>免费</w:t>
            </w:r>
            <w:r>
              <w:rPr>
                <w:rFonts w:hint="eastAsia" w:ascii="新宋体" w:hAnsi="新宋体" w:eastAsia="新宋体" w:cs="宋体"/>
                <w:bCs/>
                <w:color w:val="000000" w:themeColor="text1"/>
                <w:szCs w:val="21"/>
                <w14:textFill>
                  <w14:solidFill>
                    <w14:schemeClr w14:val="tx1"/>
                  </w14:solidFill>
                </w14:textFill>
              </w:rPr>
              <w:t>提供相关的软件系统打补丁、升级服务及介质</w:t>
            </w:r>
            <w:r>
              <w:rPr>
                <w:rFonts w:hint="eastAsia" w:ascii="新宋体" w:hAnsi="新宋体" w:eastAsia="新宋体" w:cs="宋体"/>
                <w:bCs/>
                <w:color w:val="000000" w:themeColor="text1"/>
                <w:szCs w:val="21"/>
                <w:lang w:eastAsia="zh-Hans"/>
                <w14:textFill>
                  <w14:solidFill>
                    <w14:schemeClr w14:val="tx1"/>
                  </w14:solidFill>
                </w14:textFill>
              </w:rPr>
              <w:t>，支持系统功能升级。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649" w:type="dxa"/>
            <w:gridSpan w:val="3"/>
            <w:vAlign w:val="center"/>
          </w:tcPr>
          <w:p>
            <w:pPr>
              <w:spacing w:line="276" w:lineRule="auto"/>
              <w:rPr>
                <w:rFonts w:ascii="新宋体" w:hAnsi="新宋体" w:eastAsia="新宋体"/>
                <w:b/>
                <w:szCs w:val="21"/>
              </w:rPr>
            </w:pPr>
            <w:r>
              <w:rPr>
                <w:rFonts w:hint="eastAsia" w:ascii="新宋体" w:hAnsi="新宋体" w:eastAsia="新宋体"/>
                <w:b/>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15" w:type="dxa"/>
            <w:vMerge w:val="restart"/>
            <w:vAlign w:val="center"/>
          </w:tcPr>
          <w:p>
            <w:pPr>
              <w:spacing w:line="276" w:lineRule="auto"/>
              <w:jc w:val="center"/>
              <w:rPr>
                <w:rFonts w:ascii="新宋体" w:hAnsi="新宋体" w:eastAsia="新宋体"/>
                <w:b/>
                <w:szCs w:val="21"/>
              </w:rPr>
            </w:pPr>
            <w:r>
              <w:rPr>
                <w:rFonts w:hint="eastAsia" w:ascii="新宋体" w:hAnsi="新宋体" w:eastAsia="新宋体"/>
                <w:b/>
                <w:szCs w:val="21"/>
              </w:rPr>
              <w:t>1</w:t>
            </w:r>
          </w:p>
        </w:tc>
        <w:tc>
          <w:tcPr>
            <w:tcW w:w="1701" w:type="dxa"/>
            <w:vMerge w:val="restart"/>
            <w:vAlign w:val="center"/>
          </w:tcPr>
          <w:p>
            <w:pPr>
              <w:spacing w:line="276" w:lineRule="auto"/>
              <w:jc w:val="center"/>
              <w:rPr>
                <w:rFonts w:ascii="新宋体" w:hAnsi="新宋体" w:eastAsia="新宋体"/>
                <w:szCs w:val="21"/>
              </w:rPr>
            </w:pPr>
            <w:r>
              <w:rPr>
                <w:rFonts w:hint="eastAsia" w:ascii="新宋体" w:hAnsi="新宋体" w:eastAsia="新宋体"/>
                <w:szCs w:val="21"/>
              </w:rPr>
              <w:t>关于交货</w:t>
            </w:r>
          </w:p>
        </w:tc>
        <w:tc>
          <w:tcPr>
            <w:tcW w:w="7233" w:type="dxa"/>
            <w:vAlign w:val="center"/>
          </w:tcPr>
          <w:p>
            <w:pPr>
              <w:spacing w:line="276" w:lineRule="auto"/>
              <w:rPr>
                <w:rFonts w:ascii="新宋体" w:hAnsi="新宋体" w:eastAsia="新宋体"/>
                <w:bCs/>
                <w:szCs w:val="21"/>
              </w:rPr>
            </w:pPr>
            <w:r>
              <w:rPr>
                <w:rFonts w:hint="eastAsia" w:ascii="新宋体" w:hAnsi="新宋体" w:eastAsia="新宋体"/>
                <w:bCs/>
                <w:szCs w:val="21"/>
              </w:rPr>
              <w:t>1.1交货地点：深圳市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15" w:type="dxa"/>
            <w:vMerge w:val="continue"/>
            <w:vAlign w:val="center"/>
          </w:tcPr>
          <w:p>
            <w:pPr>
              <w:spacing w:line="276" w:lineRule="auto"/>
              <w:jc w:val="center"/>
              <w:rPr>
                <w:rFonts w:ascii="新宋体" w:hAnsi="新宋体" w:eastAsia="新宋体"/>
                <w:b/>
                <w:szCs w:val="21"/>
              </w:rPr>
            </w:pPr>
          </w:p>
        </w:tc>
        <w:tc>
          <w:tcPr>
            <w:tcW w:w="1701" w:type="dxa"/>
            <w:vMerge w:val="continue"/>
            <w:vAlign w:val="center"/>
          </w:tcPr>
          <w:p>
            <w:pPr>
              <w:spacing w:line="276" w:lineRule="auto"/>
              <w:jc w:val="center"/>
              <w:rPr>
                <w:rFonts w:ascii="新宋体" w:hAnsi="新宋体" w:eastAsia="新宋体"/>
                <w:szCs w:val="21"/>
              </w:rPr>
            </w:pPr>
          </w:p>
        </w:tc>
        <w:tc>
          <w:tcPr>
            <w:tcW w:w="7233" w:type="dxa"/>
            <w:vAlign w:val="center"/>
          </w:tcPr>
          <w:p>
            <w:pPr>
              <w:spacing w:line="276" w:lineRule="auto"/>
              <w:rPr>
                <w:rFonts w:ascii="新宋体" w:hAnsi="新宋体" w:eastAsia="新宋体"/>
                <w:bCs/>
                <w:szCs w:val="21"/>
              </w:rPr>
            </w:pPr>
            <w:r>
              <w:rPr>
                <w:rFonts w:hint="eastAsia" w:ascii="新宋体" w:hAnsi="新宋体" w:eastAsia="新宋体"/>
                <w:bCs/>
                <w:szCs w:val="21"/>
              </w:rPr>
              <w:t>1.2投标人必须承担的设备运输、安装调试、验收检测和提供设备操作说明书、图纸等其他类似的义务。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15" w:type="dxa"/>
            <w:vMerge w:val="continue"/>
            <w:vAlign w:val="center"/>
          </w:tcPr>
          <w:p>
            <w:pPr>
              <w:spacing w:line="276" w:lineRule="auto"/>
              <w:jc w:val="center"/>
              <w:rPr>
                <w:rFonts w:ascii="新宋体" w:hAnsi="新宋体" w:eastAsia="新宋体"/>
                <w:b/>
                <w:szCs w:val="21"/>
              </w:rPr>
            </w:pPr>
          </w:p>
        </w:tc>
        <w:tc>
          <w:tcPr>
            <w:tcW w:w="1701" w:type="dxa"/>
            <w:vMerge w:val="continue"/>
            <w:vAlign w:val="center"/>
          </w:tcPr>
          <w:p>
            <w:pPr>
              <w:spacing w:line="276" w:lineRule="auto"/>
              <w:jc w:val="center"/>
              <w:rPr>
                <w:rFonts w:ascii="新宋体" w:hAnsi="新宋体" w:eastAsia="新宋体"/>
                <w:szCs w:val="21"/>
              </w:rPr>
            </w:pPr>
          </w:p>
        </w:tc>
        <w:tc>
          <w:tcPr>
            <w:tcW w:w="7233" w:type="dxa"/>
            <w:vAlign w:val="center"/>
          </w:tcPr>
          <w:p>
            <w:pPr>
              <w:spacing w:line="276" w:lineRule="auto"/>
              <w:rPr>
                <w:rFonts w:ascii="新宋体" w:hAnsi="新宋体" w:eastAsia="新宋体"/>
                <w:bCs/>
                <w:szCs w:val="21"/>
              </w:rPr>
            </w:pPr>
            <w:r>
              <w:rPr>
                <w:rFonts w:hint="eastAsia" w:ascii="新宋体" w:hAnsi="新宋体" w:eastAsia="新宋体"/>
                <w:bCs/>
                <w:szCs w:val="21"/>
              </w:rPr>
              <w:t>1.3签订合同后15天（日历日）内交货。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5" w:type="dxa"/>
            <w:vMerge w:val="restart"/>
            <w:vAlign w:val="center"/>
          </w:tcPr>
          <w:p>
            <w:pPr>
              <w:spacing w:line="276" w:lineRule="auto"/>
              <w:jc w:val="center"/>
              <w:rPr>
                <w:rFonts w:ascii="新宋体" w:hAnsi="新宋体" w:eastAsia="新宋体"/>
                <w:b/>
                <w:szCs w:val="21"/>
              </w:rPr>
            </w:pPr>
            <w:r>
              <w:rPr>
                <w:rFonts w:hint="eastAsia" w:ascii="新宋体" w:hAnsi="新宋体" w:eastAsia="新宋体"/>
                <w:b/>
                <w:szCs w:val="21"/>
              </w:rPr>
              <w:t>2</w:t>
            </w:r>
          </w:p>
        </w:tc>
        <w:tc>
          <w:tcPr>
            <w:tcW w:w="1701" w:type="dxa"/>
            <w:vMerge w:val="restart"/>
            <w:vAlign w:val="center"/>
          </w:tcPr>
          <w:p>
            <w:pPr>
              <w:spacing w:line="276" w:lineRule="auto"/>
              <w:jc w:val="center"/>
              <w:rPr>
                <w:rFonts w:ascii="新宋体" w:hAnsi="新宋体" w:eastAsia="新宋体"/>
                <w:szCs w:val="21"/>
              </w:rPr>
            </w:pPr>
            <w:r>
              <w:rPr>
                <w:rFonts w:hint="eastAsia" w:ascii="新宋体" w:hAnsi="新宋体" w:eastAsia="新宋体"/>
                <w:szCs w:val="21"/>
              </w:rPr>
              <w:t>关于验收</w:t>
            </w:r>
          </w:p>
        </w:tc>
        <w:tc>
          <w:tcPr>
            <w:tcW w:w="7233" w:type="dxa"/>
            <w:vAlign w:val="center"/>
          </w:tcPr>
          <w:p>
            <w:pPr>
              <w:spacing w:line="276" w:lineRule="auto"/>
              <w:rPr>
                <w:rFonts w:ascii="新宋体" w:hAnsi="新宋体" w:eastAsia="新宋体"/>
                <w:bCs/>
                <w:szCs w:val="21"/>
              </w:rPr>
            </w:pPr>
            <w:r>
              <w:rPr>
                <w:rFonts w:hint="eastAsia" w:ascii="新宋体" w:hAnsi="新宋体" w:eastAsia="新宋体"/>
                <w:bCs/>
                <w:szCs w:val="21"/>
              </w:rPr>
              <w:t>2.1投标人货物经过双方检验认可后，签署验收报告，产品保修期自验收合格之日起算，由投标人提供产品保修文件。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5" w:type="dxa"/>
            <w:vMerge w:val="continue"/>
            <w:vAlign w:val="center"/>
          </w:tcPr>
          <w:p>
            <w:pPr>
              <w:spacing w:line="276" w:lineRule="auto"/>
              <w:jc w:val="center"/>
              <w:rPr>
                <w:rFonts w:ascii="新宋体" w:hAnsi="新宋体" w:eastAsia="新宋体"/>
                <w:b/>
                <w:szCs w:val="21"/>
              </w:rPr>
            </w:pPr>
          </w:p>
        </w:tc>
        <w:tc>
          <w:tcPr>
            <w:tcW w:w="1701" w:type="dxa"/>
            <w:vMerge w:val="continue"/>
            <w:vAlign w:val="center"/>
          </w:tcPr>
          <w:p>
            <w:pPr>
              <w:spacing w:line="276" w:lineRule="auto"/>
              <w:rPr>
                <w:rFonts w:ascii="新宋体" w:hAnsi="新宋体" w:eastAsia="新宋体"/>
                <w:b/>
                <w:szCs w:val="21"/>
              </w:rPr>
            </w:pPr>
          </w:p>
        </w:tc>
        <w:tc>
          <w:tcPr>
            <w:tcW w:w="7233" w:type="dxa"/>
            <w:vAlign w:val="center"/>
          </w:tcPr>
          <w:p>
            <w:pPr>
              <w:spacing w:line="276" w:lineRule="auto"/>
              <w:rPr>
                <w:rFonts w:ascii="新宋体" w:hAnsi="新宋体" w:eastAsia="新宋体"/>
                <w:bCs/>
                <w:szCs w:val="21"/>
              </w:rPr>
            </w:pPr>
            <w:r>
              <w:rPr>
                <w:rFonts w:hint="eastAsia" w:ascii="新宋体" w:hAnsi="新宋体" w:eastAsia="新宋体"/>
                <w:bCs/>
                <w:szCs w:val="21"/>
              </w:rPr>
              <w:t>2.2当满足以下条件时，采购人才向中标人签发货物验收报告：</w:t>
            </w:r>
          </w:p>
          <w:p>
            <w:pPr>
              <w:tabs>
                <w:tab w:val="left" w:pos="1260"/>
              </w:tabs>
              <w:spacing w:line="276" w:lineRule="auto"/>
              <w:rPr>
                <w:rFonts w:ascii="新宋体" w:hAnsi="新宋体" w:eastAsia="新宋体"/>
                <w:bCs/>
                <w:szCs w:val="21"/>
              </w:rPr>
            </w:pPr>
            <w:r>
              <w:rPr>
                <w:rFonts w:ascii="新宋体" w:hAnsi="新宋体" w:eastAsia="新宋体"/>
                <w:bCs/>
                <w:szCs w:val="21"/>
              </w:rPr>
              <w:t>a</w:t>
            </w:r>
            <w:r>
              <w:rPr>
                <w:rFonts w:hint="eastAsia" w:ascii="新宋体" w:hAnsi="新宋体" w:eastAsia="新宋体"/>
                <w:bCs/>
                <w:szCs w:val="21"/>
              </w:rPr>
              <w:t>、中标人已按照合同规定提供了全部产品及完整的技术资料。</w:t>
            </w:r>
          </w:p>
          <w:p>
            <w:pPr>
              <w:tabs>
                <w:tab w:val="left" w:pos="1260"/>
              </w:tabs>
              <w:spacing w:line="276" w:lineRule="auto"/>
              <w:rPr>
                <w:rFonts w:ascii="新宋体" w:hAnsi="新宋体" w:eastAsia="新宋体"/>
                <w:bCs/>
                <w:szCs w:val="21"/>
              </w:rPr>
            </w:pPr>
            <w:r>
              <w:rPr>
                <w:rFonts w:ascii="新宋体" w:hAnsi="新宋体" w:eastAsia="新宋体"/>
                <w:bCs/>
                <w:szCs w:val="21"/>
              </w:rPr>
              <w:t>b</w:t>
            </w:r>
            <w:r>
              <w:rPr>
                <w:rFonts w:hint="eastAsia" w:ascii="新宋体" w:hAnsi="新宋体" w:eastAsia="新宋体"/>
                <w:bCs/>
                <w:szCs w:val="21"/>
              </w:rPr>
              <w:t>、货物符合招标文件技术规格书的要求，性能满足要求。</w:t>
            </w:r>
          </w:p>
          <w:p>
            <w:pPr>
              <w:tabs>
                <w:tab w:val="left" w:pos="1260"/>
              </w:tabs>
              <w:spacing w:line="276" w:lineRule="auto"/>
              <w:rPr>
                <w:rFonts w:ascii="新宋体" w:hAnsi="新宋体" w:eastAsia="新宋体"/>
                <w:bCs/>
                <w:szCs w:val="21"/>
              </w:rPr>
            </w:pPr>
            <w:r>
              <w:rPr>
                <w:rFonts w:ascii="新宋体" w:hAnsi="新宋体" w:eastAsia="新宋体"/>
                <w:bCs/>
                <w:szCs w:val="21"/>
              </w:rPr>
              <w:t>c</w:t>
            </w:r>
            <w:r>
              <w:rPr>
                <w:rFonts w:hint="eastAsia" w:ascii="新宋体" w:hAnsi="新宋体" w:eastAsia="新宋体"/>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5"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3</w:t>
            </w:r>
          </w:p>
        </w:tc>
        <w:tc>
          <w:tcPr>
            <w:tcW w:w="1701" w:type="dxa"/>
            <w:vAlign w:val="center"/>
          </w:tcPr>
          <w:p>
            <w:pPr>
              <w:spacing w:line="276" w:lineRule="auto"/>
              <w:jc w:val="center"/>
              <w:rPr>
                <w:rFonts w:ascii="新宋体" w:hAnsi="新宋体" w:eastAsia="新宋体"/>
                <w:b/>
                <w:szCs w:val="21"/>
              </w:rPr>
            </w:pPr>
            <w:r>
              <w:rPr>
                <w:rFonts w:hint="eastAsia" w:ascii="新宋体" w:hAnsi="新宋体" w:eastAsia="新宋体"/>
                <w:szCs w:val="21"/>
              </w:rPr>
              <w:t>关于违约</w:t>
            </w:r>
          </w:p>
        </w:tc>
        <w:tc>
          <w:tcPr>
            <w:tcW w:w="7233" w:type="dxa"/>
            <w:vAlign w:val="center"/>
          </w:tcPr>
          <w:p>
            <w:pPr>
              <w:spacing w:line="276" w:lineRule="auto"/>
              <w:rPr>
                <w:rFonts w:ascii="新宋体" w:hAnsi="新宋体" w:eastAsia="新宋体"/>
                <w:bCs/>
                <w:szCs w:val="21"/>
              </w:rPr>
            </w:pPr>
            <w:r>
              <w:rPr>
                <w:rFonts w:hint="eastAsia" w:ascii="新宋体" w:hAnsi="新宋体" w:eastAsia="新宋体"/>
                <w:bCs/>
                <w:szCs w:val="21"/>
              </w:rPr>
              <w:t>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5"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4</w:t>
            </w:r>
          </w:p>
        </w:tc>
        <w:tc>
          <w:tcPr>
            <w:tcW w:w="1701" w:type="dxa"/>
            <w:vAlign w:val="center"/>
          </w:tcPr>
          <w:p>
            <w:pPr>
              <w:spacing w:line="276" w:lineRule="auto"/>
              <w:jc w:val="center"/>
              <w:rPr>
                <w:rFonts w:ascii="新宋体" w:hAnsi="新宋体" w:eastAsia="新宋体"/>
                <w:bCs/>
                <w:szCs w:val="21"/>
              </w:rPr>
            </w:pPr>
            <w:r>
              <w:rPr>
                <w:rFonts w:hint="eastAsia" w:ascii="新宋体" w:hAnsi="新宋体" w:eastAsia="新宋体"/>
                <w:bCs/>
                <w:szCs w:val="21"/>
              </w:rPr>
              <w:t>关于付款</w:t>
            </w:r>
          </w:p>
        </w:tc>
        <w:tc>
          <w:tcPr>
            <w:tcW w:w="7233" w:type="dxa"/>
            <w:vAlign w:val="center"/>
          </w:tcPr>
          <w:p>
            <w:pPr>
              <w:spacing w:line="276" w:lineRule="auto"/>
              <w:rPr>
                <w:rFonts w:ascii="新宋体" w:hAnsi="新宋体" w:eastAsia="新宋体"/>
              </w:rPr>
            </w:pPr>
            <w:r>
              <w:rPr>
                <w:rFonts w:hint="eastAsia" w:ascii="新宋体" w:hAnsi="新宋体" w:eastAsia="新宋体"/>
              </w:rPr>
              <w:t>1、设备到货完成安装、部署和调试，并</w:t>
            </w:r>
            <w:r>
              <w:rPr>
                <w:rFonts w:ascii="新宋体" w:hAnsi="新宋体" w:eastAsia="新宋体"/>
                <w:bCs/>
                <w:szCs w:val="21"/>
              </w:rPr>
              <w:t>免费在现场对采购技术人员进行设备操作培训，保证使用人员能够梳理掌握使用方法，以及小故障的判断余解决</w:t>
            </w:r>
            <w:r>
              <w:rPr>
                <w:rFonts w:hint="eastAsia" w:ascii="新宋体" w:hAnsi="新宋体" w:eastAsia="新宋体"/>
                <w:bCs/>
                <w:szCs w:val="21"/>
              </w:rPr>
              <w:t>，</w:t>
            </w:r>
            <w:r>
              <w:rPr>
                <w:rFonts w:hint="eastAsia" w:ascii="新宋体" w:hAnsi="新宋体" w:eastAsia="新宋体"/>
              </w:rPr>
              <w:t>采购人向中标供应商支付不超过合同总金额70%；</w:t>
            </w:r>
          </w:p>
          <w:p>
            <w:pPr>
              <w:spacing w:line="276" w:lineRule="auto"/>
              <w:rPr>
                <w:rFonts w:ascii="新宋体" w:hAnsi="新宋体" w:eastAsia="新宋体"/>
                <w:b/>
                <w:szCs w:val="21"/>
              </w:rPr>
            </w:pPr>
            <w:r>
              <w:rPr>
                <w:rFonts w:hint="eastAsia" w:ascii="新宋体" w:hAnsi="新宋体" w:eastAsia="新宋体"/>
                <w:bCs/>
                <w:szCs w:val="21"/>
              </w:rPr>
              <w:t>2、完成约定的至少2次技术培训，</w:t>
            </w:r>
            <w:r>
              <w:rPr>
                <w:rFonts w:hint="eastAsia" w:ascii="新宋体" w:hAnsi="新宋体" w:eastAsia="新宋体"/>
              </w:rPr>
              <w:t>支付合同剩余款项。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5"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5</w:t>
            </w:r>
          </w:p>
        </w:tc>
        <w:tc>
          <w:tcPr>
            <w:tcW w:w="1701" w:type="dxa"/>
            <w:vAlign w:val="center"/>
          </w:tcPr>
          <w:p>
            <w:pPr>
              <w:spacing w:line="276" w:lineRule="auto"/>
              <w:jc w:val="center"/>
              <w:rPr>
                <w:rFonts w:ascii="新宋体" w:hAnsi="新宋体" w:eastAsia="新宋体"/>
              </w:rPr>
            </w:pPr>
            <w:r>
              <w:rPr>
                <w:rFonts w:hint="eastAsia" w:ascii="新宋体" w:hAnsi="新宋体" w:eastAsia="新宋体"/>
              </w:rPr>
              <w:t>投标人</w:t>
            </w:r>
            <w:r>
              <w:rPr>
                <w:rFonts w:hint="eastAsia" w:ascii="新宋体" w:hAnsi="新宋体" w:eastAsia="新宋体"/>
                <w:lang w:eastAsia="zh-Hans"/>
              </w:rPr>
              <w:t>资质</w:t>
            </w:r>
            <w:r>
              <w:rPr>
                <w:rFonts w:hint="eastAsia" w:ascii="新宋体" w:hAnsi="新宋体" w:eastAsia="新宋体"/>
              </w:rPr>
              <w:t>认证情况</w:t>
            </w:r>
          </w:p>
        </w:tc>
        <w:tc>
          <w:tcPr>
            <w:tcW w:w="7233" w:type="dxa"/>
            <w:vAlign w:val="center"/>
          </w:tcPr>
          <w:p>
            <w:pPr>
              <w:spacing w:line="276" w:lineRule="auto"/>
              <w:rPr>
                <w:rFonts w:ascii="新宋体" w:hAnsi="新宋体" w:eastAsia="新宋体" w:cs="宋体"/>
                <w:szCs w:val="21"/>
              </w:rPr>
            </w:pPr>
            <w:r>
              <w:rPr>
                <w:rFonts w:ascii="新宋体" w:hAnsi="新宋体" w:eastAsia="新宋体" w:cs="宋体"/>
                <w:szCs w:val="21"/>
              </w:rPr>
              <w:t>1</w:t>
            </w:r>
            <w:r>
              <w:rPr>
                <w:rFonts w:hint="eastAsia" w:ascii="新宋体" w:hAnsi="新宋体" w:eastAsia="新宋体" w:cs="宋体"/>
                <w:szCs w:val="21"/>
              </w:rPr>
              <w:t>、</w:t>
            </w:r>
            <w:r>
              <w:rPr>
                <w:rFonts w:hint="eastAsia" w:ascii="新宋体" w:hAnsi="新宋体" w:eastAsia="新宋体" w:cs="宋体"/>
                <w:szCs w:val="21"/>
                <w:lang w:eastAsia="zh-Hans"/>
              </w:rPr>
              <w:t>具备信息安全管理体系ISO</w:t>
            </w:r>
            <w:r>
              <w:rPr>
                <w:rFonts w:ascii="新宋体" w:hAnsi="新宋体" w:eastAsia="新宋体" w:cs="宋体"/>
                <w:szCs w:val="21"/>
                <w:lang w:eastAsia="zh-Hans"/>
              </w:rPr>
              <w:t>27001</w:t>
            </w:r>
            <w:r>
              <w:rPr>
                <w:rFonts w:hint="eastAsia" w:ascii="新宋体" w:hAnsi="新宋体" w:eastAsia="新宋体" w:cs="宋体"/>
                <w:szCs w:val="21"/>
              </w:rPr>
              <w:t>、隐私信息管理体系</w:t>
            </w:r>
            <w:r>
              <w:rPr>
                <w:rFonts w:ascii="新宋体" w:hAnsi="新宋体" w:eastAsia="新宋体" w:cs="宋体"/>
                <w:szCs w:val="21"/>
              </w:rPr>
              <w:t>ISO27701</w:t>
            </w:r>
            <w:r>
              <w:rPr>
                <w:rFonts w:hint="eastAsia" w:ascii="新宋体" w:hAnsi="新宋体" w:eastAsia="新宋体" w:cs="宋体"/>
                <w:szCs w:val="21"/>
              </w:rPr>
              <w:t>；</w:t>
            </w:r>
          </w:p>
          <w:p>
            <w:pPr>
              <w:spacing w:line="276" w:lineRule="auto"/>
              <w:rPr>
                <w:rFonts w:ascii="新宋体" w:hAnsi="新宋体" w:eastAsia="新宋体"/>
                <w:b/>
                <w:szCs w:val="21"/>
              </w:rPr>
            </w:pPr>
            <w:r>
              <w:rPr>
                <w:rFonts w:ascii="新宋体" w:hAnsi="新宋体" w:eastAsia="新宋体" w:cs="宋体"/>
                <w:szCs w:val="21"/>
              </w:rPr>
              <w:t>2</w:t>
            </w:r>
            <w:r>
              <w:rPr>
                <w:rFonts w:hint="eastAsia" w:ascii="新宋体" w:hAnsi="新宋体" w:eastAsia="新宋体" w:cs="宋体"/>
                <w:szCs w:val="21"/>
              </w:rPr>
              <w:t>、具有国家级信息安全相关机构颁发的信息安全服务资质证书（风险评估或软件安全开发）。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5"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6</w:t>
            </w:r>
          </w:p>
        </w:tc>
        <w:tc>
          <w:tcPr>
            <w:tcW w:w="1701" w:type="dxa"/>
            <w:vAlign w:val="center"/>
          </w:tcPr>
          <w:p>
            <w:pPr>
              <w:spacing w:line="276" w:lineRule="auto"/>
              <w:jc w:val="center"/>
              <w:rPr>
                <w:rFonts w:ascii="新宋体" w:hAnsi="新宋体" w:eastAsia="新宋体"/>
                <w:b/>
                <w:szCs w:val="21"/>
              </w:rPr>
            </w:pPr>
            <w:r>
              <w:rPr>
                <w:rFonts w:hint="eastAsia" w:ascii="新宋体" w:hAnsi="新宋体" w:eastAsia="新宋体"/>
              </w:rPr>
              <w:t>投标人自主知识产权产品（创新、设计）情况</w:t>
            </w:r>
          </w:p>
        </w:tc>
        <w:tc>
          <w:tcPr>
            <w:tcW w:w="7233" w:type="dxa"/>
            <w:vAlign w:val="center"/>
          </w:tcPr>
          <w:p>
            <w:pPr>
              <w:spacing w:line="276" w:lineRule="auto"/>
              <w:jc w:val="left"/>
              <w:rPr>
                <w:rFonts w:ascii="新宋体" w:hAnsi="新宋体" w:eastAsia="新宋体"/>
                <w:szCs w:val="21"/>
                <w:lang w:eastAsia="zh-Hans"/>
              </w:rPr>
            </w:pPr>
            <w:r>
              <w:rPr>
                <w:rFonts w:ascii="新宋体" w:hAnsi="新宋体" w:eastAsia="新宋体"/>
                <w:szCs w:val="21"/>
                <w:lang w:eastAsia="zh-Hans"/>
              </w:rPr>
              <w:t>1</w:t>
            </w:r>
            <w:r>
              <w:rPr>
                <w:rFonts w:hint="eastAsia" w:ascii="新宋体" w:hAnsi="新宋体" w:eastAsia="新宋体"/>
                <w:szCs w:val="21"/>
                <w:lang w:eastAsia="zh-Hans"/>
              </w:rPr>
              <w:t>、具有自主研发源代码扫描、开源组件扫描、开发安全产品。</w:t>
            </w:r>
          </w:p>
          <w:p>
            <w:pPr>
              <w:spacing w:line="276" w:lineRule="auto"/>
              <w:rPr>
                <w:rFonts w:ascii="新宋体" w:hAnsi="新宋体" w:eastAsia="新宋体"/>
                <w:b/>
                <w:szCs w:val="21"/>
              </w:rPr>
            </w:pPr>
            <w:r>
              <w:rPr>
                <w:rFonts w:ascii="新宋体" w:hAnsi="新宋体" w:eastAsia="新宋体"/>
                <w:szCs w:val="21"/>
                <w:lang w:eastAsia="zh-Hans"/>
              </w:rPr>
              <w:t>2</w:t>
            </w:r>
            <w:r>
              <w:rPr>
                <w:rFonts w:hint="eastAsia" w:ascii="新宋体" w:hAnsi="新宋体" w:eastAsia="新宋体"/>
                <w:szCs w:val="21"/>
                <w:lang w:eastAsia="zh-Hans"/>
              </w:rPr>
              <w:t>、移动应用安全检测系统通过龙芯、飞腾</w:t>
            </w:r>
            <w:r>
              <w:rPr>
                <w:rFonts w:ascii="新宋体" w:hAnsi="新宋体" w:eastAsia="新宋体"/>
                <w:szCs w:val="21"/>
                <w:lang w:eastAsia="zh-Hans"/>
              </w:rPr>
              <w:t>/</w:t>
            </w:r>
            <w:r>
              <w:rPr>
                <w:rFonts w:hint="eastAsia" w:ascii="新宋体" w:hAnsi="新宋体" w:eastAsia="新宋体"/>
                <w:szCs w:val="21"/>
                <w:lang w:eastAsia="zh-Hans"/>
              </w:rPr>
              <w:t>麒麟软件或统信等信创平台兼容性认证；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5"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7</w:t>
            </w:r>
          </w:p>
        </w:tc>
        <w:tc>
          <w:tcPr>
            <w:tcW w:w="1701" w:type="dxa"/>
            <w:vAlign w:val="center"/>
          </w:tcPr>
          <w:p>
            <w:pPr>
              <w:spacing w:line="276" w:lineRule="auto"/>
              <w:jc w:val="center"/>
              <w:rPr>
                <w:rFonts w:ascii="新宋体" w:hAnsi="新宋体" w:eastAsia="新宋体"/>
              </w:rPr>
            </w:pPr>
            <w:r>
              <w:rPr>
                <w:rFonts w:hint="eastAsia" w:ascii="新宋体" w:hAnsi="新宋体" w:eastAsia="新宋体"/>
              </w:rPr>
              <w:t>投标人服务能力</w:t>
            </w:r>
          </w:p>
        </w:tc>
        <w:tc>
          <w:tcPr>
            <w:tcW w:w="7233" w:type="dxa"/>
            <w:vAlign w:val="center"/>
          </w:tcPr>
          <w:p>
            <w:pPr>
              <w:spacing w:line="276" w:lineRule="auto"/>
              <w:rPr>
                <w:rFonts w:ascii="新宋体" w:hAnsi="新宋体" w:eastAsia="新宋体"/>
                <w:lang w:eastAsia="zh-Hans"/>
              </w:rPr>
            </w:pPr>
            <w:r>
              <w:rPr>
                <w:rFonts w:ascii="新宋体" w:hAnsi="新宋体" w:eastAsia="新宋体"/>
                <w:lang w:eastAsia="zh-Hans"/>
              </w:rPr>
              <w:t>1</w:t>
            </w:r>
            <w:r>
              <w:rPr>
                <w:rFonts w:hint="eastAsia" w:ascii="新宋体" w:hAnsi="新宋体" w:eastAsia="新宋体"/>
                <w:lang w:eastAsia="zh-Hans"/>
              </w:rPr>
              <w:t>、信创政务产品安全漏洞专业库技术支撑单位。</w:t>
            </w:r>
          </w:p>
          <w:p>
            <w:pPr>
              <w:spacing w:line="276" w:lineRule="auto"/>
              <w:rPr>
                <w:rFonts w:ascii="新宋体" w:hAnsi="新宋体" w:eastAsia="新宋体"/>
                <w:lang w:eastAsia="zh-Hans"/>
              </w:rPr>
            </w:pPr>
            <w:r>
              <w:rPr>
                <w:rFonts w:ascii="新宋体" w:hAnsi="新宋体" w:eastAsia="新宋体"/>
                <w:lang w:eastAsia="zh-Hans"/>
              </w:rPr>
              <w:t>2</w:t>
            </w:r>
            <w:r>
              <w:rPr>
                <w:rFonts w:hint="eastAsia" w:ascii="新宋体" w:hAnsi="新宋体" w:eastAsia="新宋体"/>
                <w:lang w:eastAsia="zh-Hans"/>
              </w:rPr>
              <w:t>、</w:t>
            </w:r>
            <w:r>
              <w:rPr>
                <w:rFonts w:ascii="新宋体" w:hAnsi="新宋体" w:eastAsia="新宋体"/>
                <w:lang w:eastAsia="zh-Hans"/>
              </w:rPr>
              <w:t>省厅级及以上网信办或公安机关网络与信息安全信息通报中心技术支撑单位</w:t>
            </w:r>
            <w:r>
              <w:rPr>
                <w:rFonts w:hint="eastAsia" w:ascii="新宋体" w:hAnsi="新宋体" w:eastAsia="新宋体"/>
                <w:lang w:eastAsia="zh-Hans"/>
              </w:rPr>
              <w:t>。</w:t>
            </w:r>
          </w:p>
          <w:p>
            <w:pPr>
              <w:spacing w:line="276" w:lineRule="auto"/>
              <w:rPr>
                <w:rFonts w:ascii="新宋体" w:hAnsi="新宋体" w:eastAsia="新宋体"/>
                <w:lang w:eastAsia="zh-Hans"/>
              </w:rPr>
            </w:pPr>
            <w:r>
              <w:rPr>
                <w:rFonts w:ascii="新宋体" w:hAnsi="新宋体" w:eastAsia="新宋体"/>
              </w:rPr>
              <w:t>3</w:t>
            </w:r>
            <w:r>
              <w:rPr>
                <w:rFonts w:hint="eastAsia" w:ascii="新宋体" w:hAnsi="新宋体" w:eastAsia="新宋体"/>
                <w:lang w:eastAsia="zh-Hans"/>
              </w:rPr>
              <w:t>、提供完成的省部级以上（含国家级）移动应用安全案例。</w:t>
            </w:r>
          </w:p>
          <w:p>
            <w:pPr>
              <w:spacing w:line="276" w:lineRule="auto"/>
              <w:rPr>
                <w:rFonts w:ascii="新宋体" w:hAnsi="新宋体" w:eastAsia="新宋体"/>
                <w:b/>
                <w:szCs w:val="21"/>
              </w:rPr>
            </w:pPr>
            <w:r>
              <w:rPr>
                <w:rFonts w:ascii="新宋体" w:hAnsi="新宋体" w:eastAsia="新宋体"/>
                <w:lang w:eastAsia="zh-Hans"/>
              </w:rPr>
              <w:t>4</w:t>
            </w:r>
            <w:r>
              <w:rPr>
                <w:rFonts w:hint="eastAsia" w:ascii="新宋体" w:hAnsi="新宋体" w:eastAsia="新宋体"/>
                <w:lang w:eastAsia="zh-Hans"/>
              </w:rPr>
              <w:t>、荣获公安部网络安全保卫局颁发优秀团队不少于</w:t>
            </w:r>
            <w:r>
              <w:rPr>
                <w:rFonts w:ascii="新宋体" w:hAnsi="新宋体" w:eastAsia="新宋体"/>
                <w:lang w:eastAsia="zh-Hans"/>
              </w:rPr>
              <w:t>3</w:t>
            </w:r>
            <w:r>
              <w:rPr>
                <w:rFonts w:hint="eastAsia" w:ascii="新宋体" w:hAnsi="新宋体" w:eastAsia="新宋体"/>
                <w:lang w:eastAsia="zh-Hans"/>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5" w:type="dxa"/>
            <w:vAlign w:val="center"/>
          </w:tcPr>
          <w:p>
            <w:pPr>
              <w:spacing w:line="276" w:lineRule="auto"/>
              <w:jc w:val="center"/>
              <w:rPr>
                <w:rFonts w:ascii="新宋体" w:hAnsi="新宋体" w:eastAsia="新宋体"/>
                <w:b/>
                <w:szCs w:val="21"/>
              </w:rPr>
            </w:pPr>
            <w:r>
              <w:rPr>
                <w:rFonts w:ascii="新宋体" w:hAnsi="新宋体" w:eastAsia="新宋体"/>
                <w:b/>
                <w:szCs w:val="21"/>
              </w:rPr>
              <w:t>8</w:t>
            </w:r>
          </w:p>
        </w:tc>
        <w:tc>
          <w:tcPr>
            <w:tcW w:w="1701" w:type="dxa"/>
            <w:vAlign w:val="center"/>
          </w:tcPr>
          <w:p>
            <w:pPr>
              <w:spacing w:line="276" w:lineRule="auto"/>
              <w:jc w:val="center"/>
              <w:rPr>
                <w:rFonts w:ascii="新宋体" w:hAnsi="新宋体" w:eastAsia="新宋体"/>
                <w:b/>
                <w:szCs w:val="21"/>
              </w:rPr>
            </w:pPr>
            <w:r>
              <w:rPr>
                <w:rFonts w:hint="eastAsia" w:ascii="新宋体" w:hAnsi="新宋体" w:eastAsia="新宋体"/>
                <w:szCs w:val="21"/>
              </w:rPr>
              <w:t>拟安排的项目主要团队成员情况</w:t>
            </w:r>
          </w:p>
        </w:tc>
        <w:tc>
          <w:tcPr>
            <w:tcW w:w="7233" w:type="dxa"/>
            <w:vAlign w:val="center"/>
          </w:tcPr>
          <w:p>
            <w:pPr>
              <w:spacing w:line="276" w:lineRule="auto"/>
              <w:rPr>
                <w:rFonts w:ascii="新宋体" w:hAnsi="新宋体" w:eastAsia="新宋体"/>
                <w:b/>
                <w:szCs w:val="21"/>
              </w:rPr>
            </w:pPr>
            <w:r>
              <w:rPr>
                <w:rFonts w:hint="eastAsia" w:ascii="新宋体" w:hAnsi="新宋体" w:eastAsia="新宋体" w:cs="宋体"/>
                <w:szCs w:val="21"/>
              </w:rPr>
              <w:t>需具备有效期内的CISP</w:t>
            </w:r>
            <w:r>
              <w:rPr>
                <w:rFonts w:hint="eastAsia" w:ascii="新宋体" w:hAnsi="新宋体" w:eastAsia="新宋体" w:cs="宋体"/>
                <w:szCs w:val="21"/>
                <w:lang w:eastAsia="zh-Hans"/>
              </w:rPr>
              <w:t>证书或者CISAW证书</w:t>
            </w:r>
          </w:p>
        </w:tc>
      </w:tr>
    </w:tbl>
    <w:p>
      <w:pPr>
        <w:pStyle w:val="5"/>
        <w:spacing w:before="60" w:beforeLines="25" w:after="60" w:afterLines="25"/>
        <w:ind w:firstLine="392" w:firstLineChars="187"/>
        <w:rPr>
          <w:rFonts w:ascii="宋体" w:hAnsi="宋体"/>
          <w:szCs w:val="21"/>
        </w:rPr>
      </w:pPr>
    </w:p>
    <w:p>
      <w:pPr>
        <w:pStyle w:val="3"/>
        <w:jc w:val="left"/>
        <w:rPr>
          <w:rFonts w:ascii="新宋体" w:hAnsi="新宋体" w:eastAsia="新宋体"/>
          <w:kern w:val="44"/>
          <w:sz w:val="30"/>
          <w:szCs w:val="30"/>
        </w:rPr>
      </w:pPr>
      <w:r>
        <w:rPr>
          <w:rFonts w:hint="eastAsia" w:ascii="新宋体" w:hAnsi="新宋体" w:eastAsia="新宋体"/>
          <w:kern w:val="44"/>
          <w:sz w:val="30"/>
          <w:szCs w:val="30"/>
        </w:rPr>
        <w:t>九、政策导向</w:t>
      </w:r>
    </w:p>
    <w:p>
      <w:pPr>
        <w:spacing w:line="360" w:lineRule="auto"/>
        <w:rPr>
          <w:rFonts w:ascii="新宋体" w:hAnsi="新宋体" w:eastAsia="新宋体"/>
        </w:rPr>
      </w:pPr>
      <w:r>
        <w:rPr>
          <w:rFonts w:hint="eastAsia" w:ascii="新宋体" w:hAnsi="新宋体" w:eastAsia="新宋体"/>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spacing w:line="360" w:lineRule="auto"/>
        <w:rPr>
          <w:rFonts w:ascii="新宋体" w:hAnsi="新宋体" w:eastAsia="新宋体"/>
        </w:rPr>
      </w:pPr>
      <w:r>
        <w:rPr>
          <w:rFonts w:hint="eastAsia" w:ascii="新宋体" w:hAnsi="新宋体" w:eastAsia="新宋体"/>
          <w:color w:val="000000"/>
          <w:shd w:val="clear" w:color="auto" w:fill="FFFFFF"/>
        </w:rPr>
        <w:t>2、</w:t>
      </w:r>
      <w:r>
        <w:rPr>
          <w:rFonts w:hint="eastAsia" w:ascii="新宋体" w:hAnsi="新宋体" w:eastAsia="新宋体"/>
        </w:rPr>
        <w:t>根据《深圳市人民政府关于印发深圳市贯彻落实守信联合激励和失信联合惩戒制度实施方案的通知》（深府〔2017〕57号）的要求，对列入失信“黑名单”的供应商限制参与政府采购。</w:t>
      </w:r>
    </w:p>
    <w:p>
      <w:pPr>
        <w:spacing w:line="360" w:lineRule="auto"/>
        <w:rPr>
          <w:rFonts w:ascii="新宋体" w:hAnsi="新宋体" w:eastAsia="新宋体"/>
        </w:rPr>
      </w:pPr>
      <w:r>
        <w:rPr>
          <w:rFonts w:hint="eastAsia" w:ascii="新宋体" w:hAnsi="新宋体" w:eastAsia="新宋体"/>
        </w:rPr>
        <w:t>3、“信用中国”、“中国政府采购网”以及“深圳市政府采购监管网”为供应商信用信息的查询渠道，相关信息以中标通知书发出前的查询结果为准。</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2ZWE1MzJlYzhlMzYwM2NlNjg2NGE5OWUzY2ZhZTgifQ=="/>
  </w:docVars>
  <w:rsids>
    <w:rsidRoot w:val="008C5BFF"/>
    <w:rsid w:val="00473EB2"/>
    <w:rsid w:val="008C5BFF"/>
    <w:rsid w:val="00B46935"/>
    <w:rsid w:val="00C30191"/>
    <w:rsid w:val="00F516D7"/>
    <w:rsid w:val="0991462A"/>
    <w:rsid w:val="2771043B"/>
    <w:rsid w:val="42556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link w:val="12"/>
    <w:qFormat/>
    <w:uiPriority w:val="0"/>
    <w:pPr>
      <w:adjustRightInd w:val="0"/>
      <w:jc w:val="center"/>
      <w:textAlignment w:val="baseline"/>
      <w:outlineLvl w:val="1"/>
    </w:pPr>
    <w:rPr>
      <w:kern w:val="0"/>
      <w:sz w:val="24"/>
      <w:szCs w:val="20"/>
    </w:rPr>
  </w:style>
  <w:style w:type="paragraph" w:styleId="3">
    <w:name w:val="heading 3"/>
    <w:basedOn w:val="4"/>
    <w:next w:val="1"/>
    <w:link w:val="13"/>
    <w:qFormat/>
    <w:uiPriority w:val="0"/>
    <w:pPr>
      <w:spacing w:before="260" w:after="260" w:line="240" w:lineRule="auto"/>
      <w:outlineLvl w:val="2"/>
    </w:pPr>
    <w:rPr>
      <w:rFonts w:ascii="宋体" w:hAnsi="宋体" w:eastAsia="宋体" w:cs="Times New Roman"/>
      <w:szCs w:val="32"/>
    </w:rPr>
  </w:style>
  <w:style w:type="paragraph" w:styleId="4">
    <w:name w:val="heading 4"/>
    <w:basedOn w:val="1"/>
    <w:next w:val="1"/>
    <w:link w:val="1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4"/>
    <w:qFormat/>
    <w:uiPriority w:val="0"/>
    <w:pPr>
      <w:ind w:firstLine="420"/>
    </w:pPr>
    <w:rPr>
      <w:szCs w:val="20"/>
    </w:rPr>
  </w:style>
  <w:style w:type="paragraph" w:styleId="6">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标题 2 字符"/>
    <w:basedOn w:val="9"/>
    <w:link w:val="2"/>
    <w:qFormat/>
    <w:uiPriority w:val="0"/>
    <w:rPr>
      <w:rFonts w:ascii="宋体" w:hAnsi="宋体" w:eastAsia="宋体" w:cs="Times New Roman"/>
      <w:b/>
      <w:bCs/>
      <w:kern w:val="0"/>
      <w:sz w:val="24"/>
      <w:szCs w:val="20"/>
    </w:rPr>
  </w:style>
  <w:style w:type="character" w:customStyle="1" w:styleId="13">
    <w:name w:val="标题 3 字符"/>
    <w:basedOn w:val="9"/>
    <w:link w:val="3"/>
    <w:qFormat/>
    <w:uiPriority w:val="0"/>
    <w:rPr>
      <w:rFonts w:ascii="宋体" w:hAnsi="宋体" w:eastAsia="宋体" w:cs="Times New Roman"/>
      <w:b/>
      <w:bCs/>
      <w:sz w:val="28"/>
      <w:szCs w:val="32"/>
    </w:rPr>
  </w:style>
  <w:style w:type="character" w:customStyle="1" w:styleId="14">
    <w:name w:val="正文缩进 字符"/>
    <w:link w:val="5"/>
    <w:qFormat/>
    <w:uiPriority w:val="0"/>
    <w:rPr>
      <w:rFonts w:ascii="Times New Roman" w:hAnsi="Times New Roman" w:eastAsia="宋体" w:cs="Times New Roman"/>
      <w:szCs w:val="20"/>
    </w:rPr>
  </w:style>
  <w:style w:type="character" w:customStyle="1" w:styleId="15">
    <w:name w:val="标题 4 字符"/>
    <w:basedOn w:val="9"/>
    <w:link w:val="4"/>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7297</Words>
  <Characters>7697</Characters>
  <Lines>57</Lines>
  <Paragraphs>16</Paragraphs>
  <TotalTime>0</TotalTime>
  <ScaleCrop>false</ScaleCrop>
  <LinksUpToDate>false</LinksUpToDate>
  <CharactersWithSpaces>7730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2022-04-27T01:39:00Z</dcterms:created>
  <dc:creator>Administrator</dc:creator>
  <cp:lastModifiedBy>WF</cp:lastModifiedBy>
  <dcterms:modified xsi:type="dcterms:W3CDTF">2022-05-05T05:59:01Z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A20D612C8DA648C6B5B7737348FA4DFC</vt:lpwstr>
  </property>
</Properties>
</file>