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3"/>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按“深圳市财政委员会关于规范深圳市社会采购代理机构管理有关事项的补充通知（深财购[2018]27号）”的规定执行；由中标/成交供应商支付招标服务费，于领取中标/成交结果通知书前一次性支付。</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pStyle w:val="3"/>
        <w:rPr>
          <w:rFonts w:ascii="新宋体" w:hAnsi="新宋体" w:eastAsia="新宋体"/>
          <w:kern w:val="44"/>
          <w:szCs w:val="28"/>
        </w:rPr>
      </w:pPr>
      <w:bookmarkStart w:id="1" w:name="_Toc128884461"/>
      <w:r>
        <w:rPr>
          <w:rFonts w:hint="eastAsia" w:ascii="新宋体" w:hAnsi="新宋体" w:eastAsia="新宋体"/>
          <w:kern w:val="44"/>
          <w:szCs w:val="28"/>
        </w:rPr>
        <w:t>二、实质性条款</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76" w:lineRule="auto"/>
              <w:rPr>
                <w:rFonts w:ascii="新宋体" w:hAnsi="新宋体" w:eastAsia="新宋体"/>
              </w:rPr>
            </w:pPr>
            <w:r>
              <w:rPr>
                <w:rFonts w:hint="eastAsia" w:ascii="新宋体" w:hAnsi="新宋体" w:eastAsia="新宋体"/>
              </w:rPr>
              <w:t>序号</w:t>
            </w:r>
          </w:p>
        </w:tc>
        <w:tc>
          <w:tcPr>
            <w:tcW w:w="7938" w:type="dxa"/>
            <w:vAlign w:val="center"/>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76" w:lineRule="auto"/>
              <w:rPr>
                <w:rFonts w:ascii="新宋体" w:hAnsi="新宋体" w:eastAsia="新宋体"/>
              </w:rPr>
            </w:pPr>
            <w:r>
              <w:rPr>
                <w:rFonts w:hint="eastAsia" w:ascii="新宋体" w:hAnsi="新宋体" w:eastAsia="新宋体"/>
              </w:rPr>
              <w:t>1</w:t>
            </w:r>
          </w:p>
        </w:tc>
        <w:tc>
          <w:tcPr>
            <w:tcW w:w="7938" w:type="dxa"/>
            <w:vAlign w:val="center"/>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76" w:lineRule="auto"/>
              <w:rPr>
                <w:rFonts w:ascii="新宋体" w:hAnsi="新宋体" w:eastAsia="新宋体"/>
              </w:rPr>
            </w:pPr>
            <w:r>
              <w:rPr>
                <w:rFonts w:hint="eastAsia" w:ascii="新宋体" w:hAnsi="新宋体" w:eastAsia="新宋体"/>
              </w:rPr>
              <w:t>2</w:t>
            </w:r>
          </w:p>
        </w:tc>
        <w:tc>
          <w:tcPr>
            <w:tcW w:w="7938" w:type="dxa"/>
            <w:vAlign w:val="center"/>
          </w:tcPr>
          <w:p>
            <w:pPr>
              <w:spacing w:line="276"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76" w:lineRule="auto"/>
              <w:rPr>
                <w:rFonts w:ascii="新宋体" w:hAnsi="新宋体" w:eastAsia="新宋体"/>
              </w:rPr>
            </w:pPr>
            <w:r>
              <w:rPr>
                <w:rFonts w:hint="eastAsia" w:ascii="新宋体" w:hAnsi="新宋体" w:eastAsia="新宋体"/>
              </w:rPr>
              <w:t>……</w:t>
            </w:r>
          </w:p>
        </w:tc>
        <w:tc>
          <w:tcPr>
            <w:tcW w:w="7938" w:type="dxa"/>
            <w:vAlign w:val="center"/>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1"/>
    <w:p>
      <w:pPr>
        <w:pStyle w:val="3"/>
        <w:rPr>
          <w:rFonts w:ascii="新宋体" w:hAnsi="新宋体" w:eastAsia="新宋体"/>
          <w:kern w:val="44"/>
          <w:szCs w:val="28"/>
        </w:rPr>
      </w:pPr>
      <w:r>
        <w:rPr>
          <w:rFonts w:hint="eastAsia" w:ascii="新宋体" w:hAnsi="新宋体" w:eastAsia="新宋体"/>
          <w:kern w:val="44"/>
          <w:szCs w:val="28"/>
        </w:rPr>
        <w:t>三、项目概况</w:t>
      </w:r>
    </w:p>
    <w:p>
      <w:pPr>
        <w:spacing w:line="360" w:lineRule="auto"/>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 人民币肆佰壹拾柒万元（¥4,17</w:t>
      </w:r>
      <w:r>
        <w:rPr>
          <w:rFonts w:ascii="新宋体" w:hAnsi="新宋体" w:eastAsia="新宋体" w:cs="宋体"/>
          <w:szCs w:val="21"/>
        </w:rPr>
        <w:t>0</w:t>
      </w:r>
      <w:r>
        <w:rPr>
          <w:rFonts w:hint="eastAsia" w:ascii="新宋体" w:hAnsi="新宋体" w:eastAsia="新宋体" w:cs="宋体"/>
          <w:szCs w:val="21"/>
        </w:rPr>
        <w:t>,</w:t>
      </w:r>
      <w:r>
        <w:rPr>
          <w:rFonts w:ascii="新宋体" w:hAnsi="新宋体" w:eastAsia="新宋体" w:cs="宋体"/>
          <w:szCs w:val="21"/>
        </w:rPr>
        <w:t>0</w:t>
      </w:r>
      <w:r>
        <w:rPr>
          <w:rFonts w:hint="eastAsia" w:ascii="新宋体" w:hAnsi="新宋体" w:eastAsia="新宋体" w:cs="宋体"/>
          <w:szCs w:val="21"/>
        </w:rPr>
        <w:t>00.00）</w:t>
      </w:r>
    </w:p>
    <w:p>
      <w:pPr>
        <w:spacing w:line="360" w:lineRule="auto"/>
        <w:ind w:firstLine="630" w:firstLineChars="300"/>
        <w:rPr>
          <w:rFonts w:ascii="新宋体" w:hAnsi="新宋体" w:eastAsia="新宋体" w:cs="宋体"/>
          <w:szCs w:val="21"/>
        </w:rPr>
      </w:pPr>
      <w:r>
        <w:rPr>
          <w:rFonts w:ascii="新宋体" w:hAnsi="新宋体" w:eastAsia="新宋体" w:cs="宋体"/>
          <w:szCs w:val="21"/>
        </w:rPr>
        <w:t>最高投标限价</w:t>
      </w:r>
      <w:r>
        <w:rPr>
          <w:rFonts w:hint="eastAsia" w:ascii="新宋体" w:hAnsi="新宋体" w:eastAsia="新宋体" w:cs="宋体"/>
          <w:szCs w:val="21"/>
        </w:rPr>
        <w:t>: 人民币肆佰壹拾柒万元（¥4,17</w:t>
      </w:r>
      <w:r>
        <w:rPr>
          <w:rFonts w:ascii="新宋体" w:hAnsi="新宋体" w:eastAsia="新宋体" w:cs="宋体"/>
          <w:szCs w:val="21"/>
        </w:rPr>
        <w:t>0</w:t>
      </w:r>
      <w:r>
        <w:rPr>
          <w:rFonts w:hint="eastAsia" w:ascii="新宋体" w:hAnsi="新宋体" w:eastAsia="新宋体" w:cs="宋体"/>
          <w:szCs w:val="21"/>
        </w:rPr>
        <w:t>,</w:t>
      </w:r>
      <w:r>
        <w:rPr>
          <w:rFonts w:ascii="新宋体" w:hAnsi="新宋体" w:eastAsia="新宋体" w:cs="宋体"/>
          <w:szCs w:val="21"/>
        </w:rPr>
        <w:t>0</w:t>
      </w:r>
      <w:r>
        <w:rPr>
          <w:rFonts w:hint="eastAsia" w:ascii="新宋体" w:hAnsi="新宋体" w:eastAsia="新宋体" w:cs="宋体"/>
          <w:szCs w:val="21"/>
        </w:rPr>
        <w:t>00.00）</w:t>
      </w:r>
    </w:p>
    <w:p>
      <w:pPr>
        <w:spacing w:line="360" w:lineRule="auto"/>
        <w:rPr>
          <w:rFonts w:ascii="新宋体" w:hAnsi="新宋体" w:eastAsia="新宋体" w:cs="宋体"/>
          <w:szCs w:val="21"/>
        </w:rPr>
      </w:pPr>
      <w:r>
        <w:rPr>
          <w:rFonts w:hint="eastAsia" w:ascii="新宋体" w:hAnsi="新宋体" w:eastAsia="新宋体" w:cs="宋体"/>
          <w:szCs w:val="21"/>
        </w:rPr>
        <w:t xml:space="preserve">（二）项目概况: </w:t>
      </w:r>
    </w:p>
    <w:p>
      <w:pPr>
        <w:pStyle w:val="4"/>
        <w:spacing w:before="120" w:after="120" w:line="360" w:lineRule="auto"/>
        <w:rPr>
          <w:rFonts w:ascii="新宋体" w:hAnsi="新宋体" w:eastAsia="新宋体"/>
          <w:sz w:val="21"/>
          <w:szCs w:val="21"/>
        </w:rPr>
      </w:pPr>
      <w:bookmarkStart w:id="2" w:name="_Toc86509794"/>
      <w:bookmarkStart w:id="3" w:name="_Toc225352512"/>
      <w:bookmarkStart w:id="4" w:name="_Toc88835805"/>
      <w:bookmarkStart w:id="5" w:name="_Toc105580066"/>
      <w:bookmarkStart w:id="6" w:name="_Toc155066201"/>
      <w:r>
        <w:rPr>
          <w:rFonts w:hint="eastAsia" w:ascii="新宋体" w:hAnsi="新宋体" w:eastAsia="新宋体"/>
          <w:sz w:val="21"/>
          <w:szCs w:val="21"/>
        </w:rPr>
        <w:t>1、</w:t>
      </w:r>
      <w:r>
        <w:rPr>
          <w:rFonts w:ascii="新宋体" w:hAnsi="新宋体" w:eastAsia="新宋体"/>
          <w:sz w:val="21"/>
          <w:szCs w:val="21"/>
        </w:rPr>
        <w:t>项目背景</w:t>
      </w:r>
      <w:bookmarkEnd w:id="2"/>
      <w:bookmarkEnd w:id="3"/>
      <w:bookmarkEnd w:id="4"/>
      <w:bookmarkEnd w:id="5"/>
    </w:p>
    <w:p>
      <w:pPr>
        <w:spacing w:line="360" w:lineRule="auto"/>
        <w:ind w:firstLine="424" w:firstLineChars="202"/>
        <w:rPr>
          <w:rFonts w:ascii="新宋体" w:hAnsi="新宋体" w:eastAsia="新宋体"/>
          <w:color w:val="000000"/>
          <w:szCs w:val="21"/>
        </w:rPr>
      </w:pPr>
      <w:bookmarkStart w:id="7" w:name="_Toc154911872"/>
      <w:r>
        <w:rPr>
          <w:rFonts w:hint="eastAsia" w:ascii="新宋体" w:hAnsi="新宋体" w:eastAsia="新宋体"/>
          <w:color w:val="000000"/>
          <w:szCs w:val="21"/>
        </w:rPr>
        <w:t>为实现水上交通安全风险管控动态化、监测预警智能化，在“全国水上交通安全预警平台”一期工程建设成果的基础上，不断汇聚安全要素信息，升级优化风险评估模型算法，开展本项目建设。</w:t>
      </w:r>
    </w:p>
    <w:p>
      <w:pPr>
        <w:pStyle w:val="4"/>
        <w:spacing w:before="120" w:after="120" w:line="360" w:lineRule="auto"/>
        <w:rPr>
          <w:rFonts w:ascii="新宋体" w:hAnsi="新宋体" w:eastAsia="新宋体"/>
          <w:sz w:val="21"/>
          <w:szCs w:val="21"/>
        </w:rPr>
      </w:pPr>
      <w:bookmarkStart w:id="8" w:name="_Toc104809684"/>
      <w:bookmarkStart w:id="9" w:name="_Toc105580067"/>
      <w:r>
        <w:rPr>
          <w:rFonts w:hint="eastAsia" w:ascii="新宋体" w:hAnsi="新宋体" w:eastAsia="新宋体"/>
          <w:sz w:val="21"/>
          <w:szCs w:val="21"/>
        </w:rPr>
        <w:t>2、已有工作基础</w:t>
      </w:r>
      <w:bookmarkEnd w:id="8"/>
      <w:bookmarkEnd w:id="9"/>
    </w:p>
    <w:p>
      <w:pPr>
        <w:pStyle w:val="11"/>
        <w:ind w:firstLine="424"/>
        <w:rPr>
          <w:rFonts w:ascii="新宋体" w:hAnsi="新宋体" w:eastAsia="新宋体" w:cs="Times New Roman"/>
          <w:sz w:val="21"/>
          <w:szCs w:val="21"/>
          <w:lang w:bidi="ar"/>
        </w:rPr>
      </w:pPr>
      <w:r>
        <w:rPr>
          <w:rFonts w:hint="eastAsia" w:ascii="新宋体" w:hAnsi="新宋体" w:eastAsia="新宋体" w:cs="Times New Roman"/>
          <w:sz w:val="21"/>
          <w:szCs w:val="21"/>
          <w:lang w:bidi="ar"/>
        </w:rPr>
        <w:t>深圳海事局于2020年完成了“全国水上交通安全预警平台”深圳示范工程的建设，该平台提供了包括水上交通安全要素信息管理，水上交通安全形势分析、水上交通安全风险预警等系统功能，初步实现了对水上交通事故、气象水文、船舶交通流量、海事服务等相关要素信息的接入，水上交通事故规律特征分析以及不同目标水域的安全风险等级判定与预警，为本项目构建深圳辖区水域安全要素全景图接入了基础安全要素信息，为本项目开展区域风险预警系统建设提供了基础模型及算法。</w:t>
      </w:r>
    </w:p>
    <w:p>
      <w:pPr>
        <w:pStyle w:val="4"/>
        <w:spacing w:before="120" w:after="120" w:line="360" w:lineRule="auto"/>
        <w:rPr>
          <w:rFonts w:ascii="新宋体" w:hAnsi="新宋体" w:eastAsia="新宋体"/>
          <w:sz w:val="21"/>
          <w:szCs w:val="21"/>
        </w:rPr>
      </w:pPr>
      <w:bookmarkStart w:id="10" w:name="_Toc105580068"/>
      <w:r>
        <w:rPr>
          <w:rFonts w:hint="eastAsia" w:ascii="新宋体" w:hAnsi="新宋体" w:eastAsia="新宋体"/>
          <w:sz w:val="21"/>
          <w:szCs w:val="21"/>
        </w:rPr>
        <w:t>3、</w:t>
      </w:r>
      <w:r>
        <w:rPr>
          <w:rFonts w:ascii="新宋体" w:hAnsi="新宋体" w:eastAsia="新宋体"/>
          <w:sz w:val="21"/>
          <w:szCs w:val="21"/>
        </w:rPr>
        <w:t>建设目标和内容</w:t>
      </w:r>
      <w:bookmarkEnd w:id="10"/>
    </w:p>
    <w:p>
      <w:pPr>
        <w:pStyle w:val="5"/>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3</w:t>
      </w:r>
      <w:r>
        <w:rPr>
          <w:rFonts w:ascii="新宋体" w:hAnsi="新宋体" w:eastAsia="新宋体"/>
          <w:color w:val="000000"/>
          <w:sz w:val="21"/>
          <w:szCs w:val="21"/>
        </w:rPr>
        <w:t xml:space="preserve">.1 </w:t>
      </w:r>
      <w:r>
        <w:rPr>
          <w:rFonts w:ascii="新宋体" w:hAnsi="新宋体" w:eastAsia="新宋体"/>
          <w:bCs/>
          <w:color w:val="000000"/>
          <w:sz w:val="21"/>
          <w:szCs w:val="21"/>
        </w:rPr>
        <w:t>建设目标</w:t>
      </w:r>
    </w:p>
    <w:p>
      <w:pPr>
        <w:pStyle w:val="11"/>
        <w:ind w:firstLineChars="0"/>
        <w:rPr>
          <w:rFonts w:ascii="新宋体" w:hAnsi="新宋体" w:eastAsia="新宋体" w:cs="Times New Roman"/>
          <w:sz w:val="21"/>
          <w:szCs w:val="21"/>
        </w:rPr>
      </w:pPr>
      <w:r>
        <w:rPr>
          <w:rFonts w:hint="eastAsia" w:ascii="新宋体" w:hAnsi="新宋体" w:eastAsia="新宋体" w:cs="Times New Roman"/>
          <w:sz w:val="21"/>
          <w:szCs w:val="21"/>
        </w:rPr>
        <w:t>为构建海上安全综合治理格局，基于“全国水上交通安全预警平台”一期工程建设成果，开展本项目建设。建设目标如下：</w:t>
      </w:r>
    </w:p>
    <w:p>
      <w:pPr>
        <w:pStyle w:val="11"/>
        <w:ind w:firstLine="424"/>
        <w:rPr>
          <w:rFonts w:ascii="新宋体" w:hAnsi="新宋体" w:eastAsia="新宋体" w:cs="Times New Roman"/>
          <w:sz w:val="21"/>
          <w:szCs w:val="21"/>
        </w:rPr>
      </w:pPr>
      <w:r>
        <w:rPr>
          <w:rFonts w:hint="eastAsia" w:ascii="新宋体" w:hAnsi="新宋体" w:eastAsia="新宋体" w:cs="Times New Roman"/>
          <w:sz w:val="21"/>
          <w:szCs w:val="21"/>
        </w:rPr>
        <w:t>（1） 优化区域安全风险预警模型，提供更加科学、精准、智能、专业的安全形势研判与预警信息服务。</w:t>
      </w:r>
    </w:p>
    <w:p>
      <w:pPr>
        <w:pStyle w:val="11"/>
        <w:ind w:firstLine="424"/>
        <w:rPr>
          <w:rFonts w:ascii="新宋体" w:hAnsi="新宋体" w:eastAsia="新宋体" w:cs="Times New Roman"/>
          <w:sz w:val="21"/>
          <w:szCs w:val="21"/>
        </w:rPr>
      </w:pPr>
      <w:r>
        <w:rPr>
          <w:rFonts w:hint="eastAsia" w:ascii="新宋体" w:hAnsi="新宋体" w:eastAsia="新宋体" w:cs="Times New Roman"/>
          <w:sz w:val="21"/>
          <w:szCs w:val="21"/>
        </w:rPr>
        <w:t>（2） 建设涉海安全风险防范化解及隐患排查治理智能化管控体系，形成涉海安全风险隐患一图两清单，实现基于事实和数据的、可量化的涉海安全智能决策。</w:t>
      </w:r>
    </w:p>
    <w:p>
      <w:pPr>
        <w:pStyle w:val="11"/>
        <w:ind w:firstLine="424"/>
        <w:rPr>
          <w:rFonts w:ascii="新宋体" w:hAnsi="新宋体" w:eastAsia="新宋体" w:cs="Times New Roman"/>
          <w:sz w:val="21"/>
          <w:szCs w:val="21"/>
        </w:rPr>
      </w:pPr>
      <w:r>
        <w:rPr>
          <w:rFonts w:hint="eastAsia" w:ascii="新宋体" w:hAnsi="新宋体" w:eastAsia="新宋体" w:cs="Times New Roman"/>
          <w:sz w:val="21"/>
          <w:szCs w:val="21"/>
        </w:rPr>
        <w:t>（3） 构建深圳市涉海安全要素全景图，实时展现安全要素动态信息、历史规律分析结果和与安全预警相关的主题分析结果。</w:t>
      </w:r>
    </w:p>
    <w:p>
      <w:pPr>
        <w:pStyle w:val="11"/>
        <w:ind w:firstLineChars="0"/>
        <w:rPr>
          <w:rFonts w:ascii="新宋体" w:hAnsi="新宋体" w:eastAsia="新宋体" w:cs="Times New Roman"/>
          <w:sz w:val="21"/>
          <w:szCs w:val="21"/>
        </w:rPr>
      </w:pPr>
      <w:r>
        <w:rPr>
          <w:rFonts w:hint="eastAsia" w:ascii="新宋体" w:hAnsi="新宋体" w:eastAsia="新宋体" w:cs="Times New Roman"/>
          <w:sz w:val="21"/>
          <w:szCs w:val="21"/>
        </w:rPr>
        <w:t>（4） 全面整合水上交通安全数据资源，建设深圳海事局服务地方经济社会贡献度数据展示系统。</w:t>
      </w:r>
    </w:p>
    <w:p>
      <w:pPr>
        <w:pStyle w:val="5"/>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3</w:t>
      </w:r>
      <w:r>
        <w:rPr>
          <w:rFonts w:ascii="新宋体" w:hAnsi="新宋体" w:eastAsia="新宋体"/>
          <w:color w:val="000000"/>
          <w:sz w:val="21"/>
          <w:szCs w:val="21"/>
        </w:rPr>
        <w:t xml:space="preserve">.2 </w:t>
      </w:r>
      <w:r>
        <w:rPr>
          <w:rFonts w:ascii="新宋体" w:hAnsi="新宋体" w:eastAsia="新宋体"/>
          <w:bCs/>
          <w:color w:val="000000"/>
          <w:sz w:val="21"/>
          <w:szCs w:val="21"/>
        </w:rPr>
        <w:t>建设内容</w:t>
      </w:r>
    </w:p>
    <w:p>
      <w:pPr>
        <w:pStyle w:val="11"/>
        <w:ind w:firstLine="424"/>
        <w:rPr>
          <w:rFonts w:ascii="新宋体" w:hAnsi="新宋体" w:eastAsia="新宋体" w:cs="Times New Roman"/>
          <w:sz w:val="21"/>
          <w:szCs w:val="21"/>
          <w:lang w:bidi="ar"/>
        </w:rPr>
      </w:pPr>
      <w:r>
        <w:rPr>
          <w:rFonts w:ascii="新宋体" w:hAnsi="新宋体" w:eastAsia="新宋体" w:cs="Times New Roman"/>
          <w:sz w:val="21"/>
          <w:szCs w:val="21"/>
          <w:lang w:bidi="ar"/>
        </w:rPr>
        <w:t>本</w:t>
      </w:r>
      <w:r>
        <w:rPr>
          <w:rFonts w:hint="eastAsia" w:ascii="新宋体" w:hAnsi="新宋体" w:eastAsia="新宋体" w:cs="Times New Roman"/>
          <w:sz w:val="21"/>
          <w:szCs w:val="21"/>
          <w:lang w:bidi="ar"/>
        </w:rPr>
        <w:t>项目</w:t>
      </w:r>
      <w:r>
        <w:rPr>
          <w:rFonts w:ascii="新宋体" w:hAnsi="新宋体" w:eastAsia="新宋体" w:cs="Times New Roman"/>
          <w:sz w:val="21"/>
          <w:szCs w:val="21"/>
          <w:lang w:bidi="ar"/>
        </w:rPr>
        <w:t>主要建设内容包括：</w:t>
      </w:r>
    </w:p>
    <w:p>
      <w:pPr>
        <w:pStyle w:val="11"/>
        <w:ind w:firstLine="424"/>
        <w:rPr>
          <w:rFonts w:ascii="新宋体" w:hAnsi="新宋体" w:eastAsia="新宋体" w:cs="Times New Roman"/>
          <w:bCs/>
          <w:sz w:val="21"/>
          <w:szCs w:val="21"/>
          <w:lang w:bidi="ar"/>
        </w:rPr>
      </w:pPr>
      <w:r>
        <w:rPr>
          <w:rFonts w:hint="eastAsia" w:ascii="新宋体" w:hAnsi="新宋体" w:eastAsia="新宋体" w:cs="Times New Roman"/>
          <w:bCs/>
          <w:sz w:val="21"/>
          <w:szCs w:val="21"/>
          <w:lang w:bidi="ar"/>
        </w:rPr>
        <w:t>（1）</w:t>
      </w:r>
      <w:r>
        <w:rPr>
          <w:rFonts w:hint="eastAsia" w:ascii="新宋体" w:hAnsi="新宋体" w:eastAsia="新宋体" w:cs="Times New Roman"/>
          <w:b/>
          <w:sz w:val="21"/>
          <w:szCs w:val="21"/>
          <w:lang w:bidi="ar"/>
        </w:rPr>
        <w:t>构建涉海安全数据处理模块</w:t>
      </w:r>
      <w:r>
        <w:rPr>
          <w:rFonts w:hint="eastAsia" w:ascii="新宋体" w:hAnsi="新宋体" w:eastAsia="新宋体" w:cs="Times New Roman"/>
          <w:bCs/>
          <w:sz w:val="21"/>
          <w:szCs w:val="21"/>
          <w:lang w:bidi="ar"/>
        </w:rPr>
        <w:t>：建立涉海安全数据库，提供安全数据处理模块，实现以水上交通安全、水域环境清洁、船员整体权益、保障战略物资、安全风险预警等为主题的安全要素数据的采集、汇聚、处理、存储、计算、检查与管理，实现对安全要素信息的全面掌控。</w:t>
      </w:r>
    </w:p>
    <w:p>
      <w:pPr>
        <w:pStyle w:val="11"/>
        <w:ind w:firstLine="424"/>
        <w:rPr>
          <w:rFonts w:ascii="新宋体" w:hAnsi="新宋体" w:eastAsia="新宋体" w:cs="Times New Roman"/>
          <w:bCs/>
          <w:sz w:val="21"/>
          <w:szCs w:val="21"/>
          <w:lang w:bidi="ar"/>
        </w:rPr>
      </w:pPr>
      <w:r>
        <w:rPr>
          <w:rFonts w:hint="eastAsia" w:ascii="新宋体" w:hAnsi="新宋体" w:eastAsia="新宋体" w:cs="Times New Roman"/>
          <w:bCs/>
          <w:sz w:val="21"/>
          <w:szCs w:val="21"/>
          <w:lang w:bidi="ar"/>
        </w:rPr>
        <w:t>（2）</w:t>
      </w:r>
      <w:r>
        <w:rPr>
          <w:rFonts w:hint="eastAsia" w:ascii="新宋体" w:hAnsi="新宋体" w:eastAsia="新宋体" w:cs="Times New Roman"/>
          <w:b/>
          <w:sz w:val="21"/>
          <w:szCs w:val="21"/>
          <w:lang w:bidi="ar"/>
        </w:rPr>
        <w:t>升级优化涉海安全预警模型</w:t>
      </w:r>
      <w:r>
        <w:rPr>
          <w:rFonts w:hint="eastAsia" w:ascii="新宋体" w:hAnsi="新宋体" w:eastAsia="新宋体" w:cs="Times New Roman"/>
          <w:bCs/>
          <w:sz w:val="21"/>
          <w:szCs w:val="21"/>
          <w:lang w:bidi="ar"/>
        </w:rPr>
        <w:t>：升级优化深圳涉海安全系列预警与分析模型算法，建立软件系统，实现模型的优化、应用与管理，科学、高效、灵活的支撑涉海安全要素全景分析与风险预警分析。</w:t>
      </w:r>
    </w:p>
    <w:p>
      <w:pPr>
        <w:pStyle w:val="11"/>
        <w:ind w:firstLine="424"/>
        <w:rPr>
          <w:rFonts w:ascii="新宋体" w:hAnsi="新宋体" w:eastAsia="新宋体" w:cs="Times New Roman"/>
          <w:bCs/>
          <w:sz w:val="21"/>
          <w:szCs w:val="21"/>
          <w:lang w:bidi="ar"/>
        </w:rPr>
      </w:pPr>
      <w:r>
        <w:rPr>
          <w:rFonts w:hint="eastAsia" w:ascii="新宋体" w:hAnsi="新宋体" w:eastAsia="新宋体" w:cs="Times New Roman"/>
          <w:bCs/>
          <w:sz w:val="21"/>
          <w:szCs w:val="21"/>
          <w:lang w:bidi="ar"/>
        </w:rPr>
        <w:t>（3）</w:t>
      </w:r>
      <w:r>
        <w:rPr>
          <w:rFonts w:hint="eastAsia" w:ascii="新宋体" w:hAnsi="新宋体" w:eastAsia="新宋体" w:cs="Times New Roman"/>
          <w:b/>
          <w:sz w:val="21"/>
          <w:szCs w:val="21"/>
          <w:lang w:bidi="ar"/>
        </w:rPr>
        <w:t>建立涉海安全要素全景图</w:t>
      </w:r>
      <w:r>
        <w:rPr>
          <w:rFonts w:hint="eastAsia" w:ascii="新宋体" w:hAnsi="新宋体" w:eastAsia="新宋体" w:cs="Times New Roman"/>
          <w:bCs/>
          <w:sz w:val="21"/>
          <w:szCs w:val="21"/>
          <w:lang w:bidi="ar"/>
        </w:rPr>
        <w:t>：研发涉海安全风险预警一张图、涉海安全风险隐患清单一张图、桥区通行船舶风险预警专题图，实现安全要素动态、规律及趋势信息、安全风险预警信息、风险隐患清单信息及专题应用信息的可视化展示，辅助海事管理人员实时掌握辖区薄弱环节，知短板，识底板。</w:t>
      </w:r>
    </w:p>
    <w:p>
      <w:pPr>
        <w:pStyle w:val="11"/>
        <w:ind w:firstLine="424"/>
        <w:rPr>
          <w:rFonts w:ascii="新宋体" w:hAnsi="新宋体" w:eastAsia="新宋体" w:cs="Times New Roman"/>
          <w:bCs/>
          <w:sz w:val="21"/>
          <w:szCs w:val="21"/>
          <w:lang w:bidi="ar"/>
        </w:rPr>
      </w:pPr>
      <w:r>
        <w:rPr>
          <w:rFonts w:hint="eastAsia" w:ascii="新宋体" w:hAnsi="新宋体" w:eastAsia="新宋体" w:cs="Times New Roman"/>
          <w:bCs/>
          <w:sz w:val="21"/>
          <w:szCs w:val="21"/>
          <w:lang w:bidi="ar"/>
        </w:rPr>
        <w:t>（4）</w:t>
      </w:r>
      <w:r>
        <w:rPr>
          <w:rFonts w:hint="eastAsia" w:ascii="新宋体" w:hAnsi="新宋体" w:eastAsia="新宋体" w:cs="Times New Roman"/>
          <w:b/>
          <w:sz w:val="21"/>
          <w:szCs w:val="21"/>
          <w:lang w:bidi="ar"/>
        </w:rPr>
        <w:t>研发深圳海事服务地方经济贡献度数据展示模块</w:t>
      </w:r>
      <w:r>
        <w:rPr>
          <w:rFonts w:hint="eastAsia" w:ascii="新宋体" w:hAnsi="新宋体" w:eastAsia="新宋体" w:cs="Times New Roman"/>
          <w:bCs/>
          <w:sz w:val="21"/>
          <w:szCs w:val="21"/>
          <w:lang w:bidi="ar"/>
        </w:rPr>
        <w:t>：从保障水上交通安全、保护水域环境清洁、保护船员整体权益、维护海上主权和人民利益、保障战略物资运输安全、服务重要战略通道安全、服务物流供应链畅通和海运业高质量发展、服务国家战略实施等八大领域动态展示海事服务地方经济贡献度。</w:t>
      </w:r>
    </w:p>
    <w:p>
      <w:pPr>
        <w:pStyle w:val="11"/>
        <w:ind w:firstLine="424"/>
        <w:rPr>
          <w:rFonts w:ascii="新宋体" w:hAnsi="新宋体" w:eastAsia="新宋体" w:cs="Times New Roman"/>
          <w:sz w:val="21"/>
          <w:szCs w:val="21"/>
        </w:rPr>
      </w:pPr>
      <w:r>
        <w:rPr>
          <w:rFonts w:hint="eastAsia" w:ascii="新宋体" w:hAnsi="新宋体" w:eastAsia="新宋体" w:cs="Times New Roman"/>
          <w:bCs/>
          <w:sz w:val="21"/>
          <w:szCs w:val="21"/>
          <w:lang w:bidi="ar"/>
        </w:rPr>
        <w:t>（5）</w:t>
      </w:r>
      <w:r>
        <w:rPr>
          <w:rFonts w:hint="eastAsia" w:ascii="新宋体" w:hAnsi="新宋体" w:eastAsia="新宋体" w:cs="Times New Roman"/>
          <w:b/>
          <w:sz w:val="21"/>
          <w:szCs w:val="21"/>
          <w:lang w:bidi="ar"/>
        </w:rPr>
        <w:t>开展涉海安全相关机制及管理规范研究</w:t>
      </w:r>
      <w:r>
        <w:rPr>
          <w:rFonts w:hint="eastAsia" w:ascii="新宋体" w:hAnsi="新宋体" w:eastAsia="新宋体" w:cs="Times New Roman"/>
          <w:bCs/>
          <w:sz w:val="21"/>
          <w:szCs w:val="21"/>
          <w:lang w:bidi="ar"/>
        </w:rPr>
        <w:t>：形成《深圳市水上新业态活动安全监管工作规范研究报告》及《深圳市桥区通行船舶风险分级管控机制研究报告》，为有效管控水上新业态活动风险及桥区通行船舶风险提供理论及制度支持</w:t>
      </w:r>
      <w:r>
        <w:rPr>
          <w:rFonts w:ascii="新宋体" w:hAnsi="新宋体" w:eastAsia="新宋体" w:cs="Times New Roman"/>
          <w:sz w:val="21"/>
          <w:szCs w:val="21"/>
          <w:lang w:bidi="en-US"/>
        </w:rPr>
        <w:t>。</w:t>
      </w:r>
    </w:p>
    <w:bookmarkEnd w:id="6"/>
    <w:bookmarkEnd w:id="7"/>
    <w:p>
      <w:pPr>
        <w:pStyle w:val="4"/>
        <w:spacing w:before="120" w:after="120" w:line="360" w:lineRule="auto"/>
        <w:rPr>
          <w:rFonts w:ascii="新宋体" w:hAnsi="新宋体" w:eastAsia="新宋体"/>
          <w:sz w:val="21"/>
          <w:szCs w:val="21"/>
        </w:rPr>
      </w:pPr>
      <w:bookmarkStart w:id="11" w:name="_Toc105580069"/>
      <w:r>
        <w:rPr>
          <w:rFonts w:hint="eastAsia" w:ascii="新宋体" w:hAnsi="新宋体" w:eastAsia="新宋体"/>
          <w:sz w:val="21"/>
          <w:szCs w:val="21"/>
        </w:rPr>
        <w:t>4、</w:t>
      </w:r>
      <w:r>
        <w:rPr>
          <w:rFonts w:ascii="新宋体" w:hAnsi="新宋体" w:eastAsia="新宋体"/>
          <w:sz w:val="21"/>
          <w:szCs w:val="21"/>
        </w:rPr>
        <w:t>建设周期</w:t>
      </w:r>
      <w:bookmarkEnd w:id="11"/>
    </w:p>
    <w:p>
      <w:pPr>
        <w:pStyle w:val="11"/>
        <w:ind w:firstLine="424"/>
        <w:rPr>
          <w:rFonts w:ascii="新宋体" w:hAnsi="新宋体" w:eastAsia="新宋体" w:cs="Times New Roman"/>
          <w:sz w:val="21"/>
          <w:szCs w:val="21"/>
          <w:lang w:bidi="ar"/>
        </w:rPr>
      </w:pPr>
      <w:r>
        <w:rPr>
          <w:rFonts w:hint="eastAsia" w:ascii="新宋体" w:hAnsi="新宋体" w:eastAsia="新宋体" w:cs="Times New Roman"/>
          <w:sz w:val="21"/>
          <w:szCs w:val="21"/>
          <w:lang w:bidi="ar"/>
        </w:rPr>
        <w:t>本项目</w:t>
      </w:r>
      <w:r>
        <w:rPr>
          <w:rFonts w:ascii="新宋体" w:hAnsi="新宋体" w:eastAsia="新宋体" w:cs="Times New Roman"/>
          <w:sz w:val="21"/>
          <w:szCs w:val="21"/>
          <w:lang w:bidi="ar"/>
        </w:rPr>
        <w:t>建设周期为合同签订后</w:t>
      </w:r>
      <w:r>
        <w:rPr>
          <w:rFonts w:hint="eastAsia" w:ascii="新宋体" w:hAnsi="新宋体" w:eastAsia="新宋体" w:cs="Times New Roman"/>
          <w:sz w:val="21"/>
          <w:szCs w:val="21"/>
          <w:lang w:bidi="ar"/>
        </w:rPr>
        <w:t>的</w:t>
      </w:r>
      <w:r>
        <w:rPr>
          <w:rFonts w:ascii="新宋体" w:hAnsi="新宋体" w:eastAsia="新宋体" w:cs="Times New Roman"/>
          <w:sz w:val="21"/>
          <w:szCs w:val="21"/>
          <w:lang w:bidi="ar"/>
        </w:rPr>
        <w:t>6个月</w:t>
      </w:r>
      <w:r>
        <w:rPr>
          <w:rFonts w:hint="eastAsia" w:ascii="新宋体" w:hAnsi="新宋体" w:eastAsia="新宋体" w:cs="Times New Roman"/>
          <w:sz w:val="21"/>
          <w:szCs w:val="21"/>
          <w:lang w:bidi="ar"/>
        </w:rPr>
        <w:t>内完成项目验收工作</w:t>
      </w:r>
      <w:r>
        <w:rPr>
          <w:rFonts w:ascii="新宋体" w:hAnsi="新宋体" w:eastAsia="新宋体" w:cs="Times New Roman"/>
          <w:sz w:val="21"/>
          <w:szCs w:val="21"/>
          <w:lang w:bidi="ar"/>
        </w:rPr>
        <w:t>。</w:t>
      </w:r>
    </w:p>
    <w:p>
      <w:pPr>
        <w:pStyle w:val="4"/>
        <w:spacing w:before="120" w:after="120" w:line="360" w:lineRule="auto"/>
        <w:rPr>
          <w:rFonts w:ascii="新宋体" w:hAnsi="新宋体" w:eastAsia="新宋体"/>
          <w:sz w:val="21"/>
          <w:szCs w:val="21"/>
        </w:rPr>
      </w:pPr>
      <w:bookmarkStart w:id="12" w:name="_Toc105580070"/>
      <w:r>
        <w:rPr>
          <w:rFonts w:hint="eastAsia" w:ascii="新宋体" w:hAnsi="新宋体" w:eastAsia="新宋体"/>
          <w:sz w:val="21"/>
          <w:szCs w:val="21"/>
        </w:rPr>
        <w:t>5、</w:t>
      </w:r>
      <w:r>
        <w:rPr>
          <w:rFonts w:ascii="新宋体" w:hAnsi="新宋体" w:eastAsia="新宋体"/>
          <w:sz w:val="21"/>
          <w:szCs w:val="21"/>
        </w:rPr>
        <w:t>供货清单</w:t>
      </w:r>
      <w:bookmarkEnd w:id="12"/>
    </w:p>
    <w:p>
      <w:pPr>
        <w:pStyle w:val="11"/>
        <w:ind w:firstLine="424"/>
        <w:rPr>
          <w:rFonts w:ascii="新宋体" w:hAnsi="新宋体" w:eastAsia="新宋体" w:cs="Times New Roman"/>
          <w:sz w:val="21"/>
          <w:szCs w:val="21"/>
        </w:rPr>
      </w:pPr>
      <w:r>
        <w:rPr>
          <w:rFonts w:hint="eastAsia" w:ascii="新宋体" w:hAnsi="新宋体" w:eastAsia="新宋体" w:cs="Times New Roman"/>
          <w:sz w:val="21"/>
          <w:szCs w:val="21"/>
        </w:rPr>
        <w:t>本项目供货</w:t>
      </w:r>
      <w:r>
        <w:rPr>
          <w:rFonts w:ascii="新宋体" w:hAnsi="新宋体" w:eastAsia="新宋体" w:cs="Times New Roman"/>
          <w:sz w:val="21"/>
          <w:szCs w:val="21"/>
        </w:rPr>
        <w:t>清单见下表：</w:t>
      </w:r>
    </w:p>
    <w:p>
      <w:pPr>
        <w:pStyle w:val="8"/>
        <w:ind w:firstLine="0" w:firstLineChars="0"/>
        <w:jc w:val="center"/>
        <w:rPr>
          <w:rFonts w:ascii="新宋体" w:hAnsi="新宋体" w:eastAsia="新宋体"/>
          <w:sz w:val="21"/>
          <w:szCs w:val="21"/>
        </w:rPr>
      </w:pPr>
      <w:r>
        <w:rPr>
          <w:rFonts w:ascii="新宋体" w:hAnsi="新宋体" w:eastAsia="新宋体"/>
          <w:sz w:val="21"/>
          <w:szCs w:val="21"/>
        </w:rPr>
        <w:t>表1</w:t>
      </w:r>
      <w:r>
        <w:rPr>
          <w:rFonts w:ascii="新宋体" w:hAnsi="新宋体" w:eastAsia="新宋体"/>
          <w:sz w:val="21"/>
          <w:szCs w:val="21"/>
        </w:rPr>
        <w:noBreakHyphen/>
      </w:r>
      <w:r>
        <w:rPr>
          <w:rFonts w:ascii="新宋体" w:hAnsi="新宋体" w:eastAsia="新宋体"/>
          <w:sz w:val="21"/>
          <w:szCs w:val="21"/>
        </w:rPr>
        <w:fldChar w:fldCharType="begin"/>
      </w:r>
      <w:r>
        <w:rPr>
          <w:rFonts w:ascii="新宋体" w:hAnsi="新宋体" w:eastAsia="新宋体"/>
          <w:sz w:val="21"/>
          <w:szCs w:val="21"/>
        </w:rPr>
        <w:instrText xml:space="preserve"> SEQ 表 \* ARABIC \s 1 </w:instrText>
      </w:r>
      <w:r>
        <w:rPr>
          <w:rFonts w:ascii="新宋体" w:hAnsi="新宋体" w:eastAsia="新宋体"/>
          <w:sz w:val="21"/>
          <w:szCs w:val="21"/>
        </w:rPr>
        <w:fldChar w:fldCharType="separate"/>
      </w:r>
      <w:r>
        <w:rPr>
          <w:rFonts w:ascii="新宋体" w:hAnsi="新宋体" w:eastAsia="新宋体"/>
          <w:sz w:val="21"/>
          <w:szCs w:val="21"/>
        </w:rPr>
        <w:t>1</w:t>
      </w:r>
      <w:r>
        <w:rPr>
          <w:rFonts w:ascii="新宋体" w:hAnsi="新宋体" w:eastAsia="新宋体"/>
          <w:sz w:val="21"/>
          <w:szCs w:val="21"/>
        </w:rPr>
        <w:fldChar w:fldCharType="end"/>
      </w:r>
      <w:r>
        <w:rPr>
          <w:rFonts w:ascii="新宋体" w:hAnsi="新宋体" w:eastAsia="新宋体"/>
          <w:sz w:val="21"/>
          <w:szCs w:val="21"/>
        </w:rPr>
        <w:t xml:space="preserve">  </w:t>
      </w:r>
      <w:r>
        <w:rPr>
          <w:rFonts w:hint="eastAsia" w:ascii="新宋体" w:hAnsi="新宋体" w:eastAsia="新宋体"/>
          <w:sz w:val="21"/>
          <w:szCs w:val="21"/>
        </w:rPr>
        <w:t>供货</w:t>
      </w:r>
      <w:r>
        <w:rPr>
          <w:rFonts w:ascii="新宋体" w:hAnsi="新宋体" w:eastAsia="新宋体"/>
          <w:sz w:val="21"/>
          <w:szCs w:val="21"/>
        </w:rPr>
        <w:t>清单</w:t>
      </w:r>
    </w:p>
    <w:tbl>
      <w:tblPr>
        <w:tblStyle w:val="9"/>
        <w:tblW w:w="9196" w:type="dxa"/>
        <w:jc w:val="center"/>
        <w:tblLayout w:type="fixed"/>
        <w:tblCellMar>
          <w:top w:w="0" w:type="dxa"/>
          <w:left w:w="108" w:type="dxa"/>
          <w:bottom w:w="0" w:type="dxa"/>
          <w:right w:w="108" w:type="dxa"/>
        </w:tblCellMar>
      </w:tblPr>
      <w:tblGrid>
        <w:gridCol w:w="846"/>
        <w:gridCol w:w="5681"/>
        <w:gridCol w:w="1276"/>
        <w:gridCol w:w="1393"/>
      </w:tblGrid>
      <w:tr>
        <w:tblPrEx>
          <w:tblCellMar>
            <w:top w:w="0" w:type="dxa"/>
            <w:left w:w="108" w:type="dxa"/>
            <w:bottom w:w="0" w:type="dxa"/>
            <w:right w:w="108" w:type="dxa"/>
          </w:tblCellMar>
        </w:tblPrEx>
        <w:trPr>
          <w:trHeight w:val="567" w:hRule="atLeast"/>
          <w:tblHeader/>
          <w:jc w:val="center"/>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新宋体" w:hAnsi="新宋体" w:eastAsia="新宋体"/>
                <w:b/>
                <w:bCs/>
                <w:szCs w:val="21"/>
              </w:rPr>
            </w:pPr>
            <w:r>
              <w:rPr>
                <w:rFonts w:ascii="新宋体" w:hAnsi="新宋体" w:eastAsia="新宋体"/>
                <w:b/>
                <w:bCs/>
                <w:szCs w:val="21"/>
              </w:rPr>
              <w:t>序号</w:t>
            </w:r>
          </w:p>
        </w:tc>
        <w:tc>
          <w:tcPr>
            <w:tcW w:w="5681" w:type="dxa"/>
            <w:tcBorders>
              <w:top w:val="single" w:color="auto" w:sz="4" w:space="0"/>
              <w:left w:val="nil"/>
              <w:bottom w:val="single" w:color="auto" w:sz="4" w:space="0"/>
              <w:right w:val="single" w:color="auto" w:sz="4" w:space="0"/>
            </w:tcBorders>
            <w:shd w:val="clear" w:color="000000" w:fill="FFFFFF"/>
            <w:vAlign w:val="center"/>
          </w:tcPr>
          <w:p>
            <w:pPr>
              <w:jc w:val="center"/>
              <w:rPr>
                <w:rFonts w:ascii="新宋体" w:hAnsi="新宋体" w:eastAsia="新宋体"/>
                <w:b/>
                <w:bCs/>
                <w:szCs w:val="21"/>
              </w:rPr>
            </w:pPr>
            <w:r>
              <w:rPr>
                <w:rFonts w:hint="eastAsia" w:ascii="新宋体" w:hAnsi="新宋体" w:eastAsia="新宋体"/>
                <w:b/>
                <w:bCs/>
                <w:szCs w:val="21"/>
              </w:rPr>
              <w:t>系统</w:t>
            </w:r>
            <w:r>
              <w:rPr>
                <w:rFonts w:ascii="新宋体" w:hAnsi="新宋体" w:eastAsia="新宋体"/>
                <w:b/>
                <w:bCs/>
                <w:szCs w:val="21"/>
              </w:rPr>
              <w:t>名称</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新宋体" w:hAnsi="新宋体" w:eastAsia="新宋体"/>
                <w:b/>
                <w:szCs w:val="21"/>
              </w:rPr>
            </w:pPr>
            <w:r>
              <w:rPr>
                <w:rFonts w:ascii="新宋体" w:hAnsi="新宋体" w:eastAsia="新宋体"/>
                <w:b/>
                <w:szCs w:val="21"/>
              </w:rPr>
              <w:t>单位</w:t>
            </w:r>
          </w:p>
        </w:tc>
        <w:tc>
          <w:tcPr>
            <w:tcW w:w="1393"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新宋体" w:hAnsi="新宋体" w:eastAsia="新宋体"/>
                <w:b/>
                <w:szCs w:val="21"/>
              </w:rPr>
            </w:pPr>
            <w:r>
              <w:rPr>
                <w:rFonts w:ascii="新宋体" w:hAnsi="新宋体" w:eastAsia="新宋体"/>
                <w:b/>
                <w:szCs w:val="21"/>
              </w:rPr>
              <w:t>数量</w:t>
            </w:r>
          </w:p>
        </w:tc>
      </w:tr>
      <w:tr>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新宋体" w:hAnsi="新宋体" w:eastAsia="新宋体"/>
                <w:b/>
                <w:bCs/>
                <w:szCs w:val="21"/>
              </w:rPr>
            </w:pPr>
            <w:r>
              <w:rPr>
                <w:rFonts w:ascii="新宋体" w:hAnsi="新宋体" w:eastAsia="新宋体"/>
                <w:b/>
                <w:bCs/>
                <w:szCs w:val="21"/>
              </w:rPr>
              <w:t>一</w:t>
            </w:r>
          </w:p>
        </w:tc>
        <w:tc>
          <w:tcPr>
            <w:tcW w:w="5681"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b/>
                <w:bCs/>
                <w:szCs w:val="21"/>
              </w:rPr>
            </w:pPr>
            <w:r>
              <w:rPr>
                <w:rFonts w:ascii="新宋体" w:hAnsi="新宋体" w:eastAsia="新宋体"/>
                <w:b/>
                <w:bCs/>
                <w:szCs w:val="21"/>
              </w:rPr>
              <w:t>应用软件系统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b/>
                <w:bCs/>
                <w:szCs w:val="21"/>
              </w:rPr>
            </w:pPr>
            <w:r>
              <w:rPr>
                <w:rFonts w:ascii="新宋体" w:hAnsi="新宋体" w:eastAsia="新宋体"/>
                <w:b/>
                <w:bCs/>
                <w:szCs w:val="21"/>
              </w:rPr>
              <w:t>项</w:t>
            </w:r>
          </w:p>
        </w:tc>
        <w:tc>
          <w:tcPr>
            <w:tcW w:w="1393"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b/>
                <w:bCs/>
                <w:szCs w:val="21"/>
              </w:rPr>
            </w:pPr>
            <w:r>
              <w:rPr>
                <w:rFonts w:ascii="新宋体" w:hAnsi="新宋体" w:eastAsia="新宋体"/>
                <w:b/>
                <w:bCs/>
                <w:szCs w:val="21"/>
              </w:rPr>
              <w:t>1</w:t>
            </w:r>
          </w:p>
        </w:tc>
      </w:tr>
      <w:tr>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新宋体" w:hAnsi="新宋体" w:eastAsia="新宋体"/>
                <w:szCs w:val="21"/>
              </w:rPr>
            </w:pPr>
            <w:r>
              <w:rPr>
                <w:rFonts w:ascii="新宋体" w:hAnsi="新宋体" w:eastAsia="新宋体"/>
                <w:bCs/>
                <w:color w:val="000000"/>
                <w:szCs w:val="21"/>
              </w:rPr>
              <w:t>1</w:t>
            </w:r>
          </w:p>
        </w:tc>
        <w:tc>
          <w:tcPr>
            <w:tcW w:w="5681" w:type="dxa"/>
            <w:tcBorders>
              <w:top w:val="nil"/>
              <w:left w:val="nil"/>
              <w:bottom w:val="single" w:color="auto" w:sz="4" w:space="0"/>
              <w:right w:val="single" w:color="auto" w:sz="4" w:space="0"/>
            </w:tcBorders>
            <w:shd w:val="clear" w:color="auto" w:fill="auto"/>
            <w:vAlign w:val="center"/>
          </w:tcPr>
          <w:p>
            <w:pPr>
              <w:jc w:val="center"/>
              <w:rPr>
                <w:rFonts w:ascii="新宋体" w:hAnsi="新宋体" w:eastAsia="新宋体"/>
                <w:szCs w:val="21"/>
              </w:rPr>
            </w:pPr>
            <w:r>
              <w:rPr>
                <w:rFonts w:hint="eastAsia" w:ascii="新宋体" w:hAnsi="新宋体" w:eastAsia="新宋体"/>
                <w:bCs/>
                <w:color w:val="000000"/>
                <w:szCs w:val="21"/>
              </w:rPr>
              <w:t>构建涉海安全数据处理模块</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szCs w:val="21"/>
              </w:rPr>
            </w:pPr>
            <w:r>
              <w:rPr>
                <w:rFonts w:ascii="新宋体" w:hAnsi="新宋体" w:eastAsia="新宋体"/>
                <w:szCs w:val="21"/>
              </w:rPr>
              <w:t>项</w:t>
            </w:r>
          </w:p>
        </w:tc>
        <w:tc>
          <w:tcPr>
            <w:tcW w:w="1393"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szCs w:val="21"/>
              </w:rPr>
            </w:pPr>
            <w:r>
              <w:rPr>
                <w:rFonts w:ascii="新宋体" w:hAnsi="新宋体" w:eastAsia="新宋体"/>
                <w:szCs w:val="21"/>
              </w:rPr>
              <w:t>1</w:t>
            </w:r>
          </w:p>
        </w:tc>
      </w:tr>
      <w:tr>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新宋体" w:hAnsi="新宋体" w:eastAsia="新宋体"/>
                <w:bCs/>
                <w:szCs w:val="21"/>
              </w:rPr>
            </w:pPr>
            <w:r>
              <w:rPr>
                <w:rFonts w:ascii="新宋体" w:hAnsi="新宋体" w:eastAsia="新宋体"/>
                <w:bCs/>
                <w:color w:val="000000"/>
                <w:szCs w:val="21"/>
              </w:rPr>
              <w:t>2</w:t>
            </w:r>
          </w:p>
        </w:tc>
        <w:tc>
          <w:tcPr>
            <w:tcW w:w="5681" w:type="dxa"/>
            <w:tcBorders>
              <w:top w:val="nil"/>
              <w:left w:val="nil"/>
              <w:bottom w:val="single" w:color="auto" w:sz="4" w:space="0"/>
              <w:right w:val="single" w:color="auto" w:sz="4" w:space="0"/>
            </w:tcBorders>
            <w:shd w:val="clear" w:color="auto" w:fill="auto"/>
            <w:vAlign w:val="center"/>
          </w:tcPr>
          <w:p>
            <w:pPr>
              <w:jc w:val="center"/>
              <w:rPr>
                <w:rFonts w:ascii="新宋体" w:hAnsi="新宋体" w:eastAsia="新宋体"/>
                <w:bCs/>
                <w:szCs w:val="21"/>
              </w:rPr>
            </w:pPr>
            <w:r>
              <w:rPr>
                <w:rFonts w:hint="eastAsia" w:ascii="新宋体" w:hAnsi="新宋体" w:eastAsia="新宋体"/>
                <w:bCs/>
                <w:color w:val="000000"/>
                <w:szCs w:val="21"/>
              </w:rPr>
              <w:t>升级优化涉海安全预警模型</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szCs w:val="21"/>
              </w:rPr>
            </w:pPr>
            <w:r>
              <w:rPr>
                <w:rFonts w:ascii="新宋体" w:hAnsi="新宋体" w:eastAsia="新宋体"/>
                <w:szCs w:val="21"/>
              </w:rPr>
              <w:t>项</w:t>
            </w:r>
          </w:p>
        </w:tc>
        <w:tc>
          <w:tcPr>
            <w:tcW w:w="1393"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szCs w:val="21"/>
              </w:rPr>
            </w:pPr>
            <w:r>
              <w:rPr>
                <w:rFonts w:ascii="新宋体" w:hAnsi="新宋体" w:eastAsia="新宋体"/>
                <w:szCs w:val="21"/>
              </w:rPr>
              <w:t>1</w:t>
            </w:r>
          </w:p>
        </w:tc>
      </w:tr>
      <w:tr>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新宋体" w:hAnsi="新宋体" w:eastAsia="新宋体"/>
                <w:szCs w:val="21"/>
              </w:rPr>
            </w:pPr>
            <w:r>
              <w:rPr>
                <w:rFonts w:ascii="新宋体" w:hAnsi="新宋体" w:eastAsia="新宋体"/>
                <w:bCs/>
                <w:color w:val="000000"/>
                <w:szCs w:val="21"/>
              </w:rPr>
              <w:t>3</w:t>
            </w:r>
          </w:p>
        </w:tc>
        <w:tc>
          <w:tcPr>
            <w:tcW w:w="5681" w:type="dxa"/>
            <w:tcBorders>
              <w:top w:val="nil"/>
              <w:left w:val="nil"/>
              <w:bottom w:val="single" w:color="auto" w:sz="4" w:space="0"/>
              <w:right w:val="single" w:color="auto" w:sz="4" w:space="0"/>
            </w:tcBorders>
            <w:shd w:val="clear" w:color="auto" w:fill="auto"/>
            <w:vAlign w:val="center"/>
          </w:tcPr>
          <w:p>
            <w:pPr>
              <w:jc w:val="center"/>
              <w:rPr>
                <w:rFonts w:ascii="新宋体" w:hAnsi="新宋体" w:eastAsia="新宋体"/>
                <w:szCs w:val="21"/>
              </w:rPr>
            </w:pPr>
            <w:r>
              <w:rPr>
                <w:rFonts w:hint="eastAsia" w:ascii="新宋体" w:hAnsi="新宋体" w:eastAsia="新宋体"/>
                <w:bCs/>
                <w:color w:val="000000"/>
                <w:szCs w:val="21"/>
              </w:rPr>
              <w:t>建立涉海安全要素全景图</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szCs w:val="21"/>
              </w:rPr>
            </w:pPr>
            <w:r>
              <w:rPr>
                <w:rFonts w:ascii="新宋体" w:hAnsi="新宋体" w:eastAsia="新宋体"/>
                <w:szCs w:val="21"/>
              </w:rPr>
              <w:t>项</w:t>
            </w:r>
          </w:p>
        </w:tc>
        <w:tc>
          <w:tcPr>
            <w:tcW w:w="1393"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szCs w:val="21"/>
              </w:rPr>
            </w:pPr>
            <w:r>
              <w:rPr>
                <w:rFonts w:ascii="新宋体" w:hAnsi="新宋体" w:eastAsia="新宋体"/>
                <w:szCs w:val="21"/>
              </w:rPr>
              <w:t>1</w:t>
            </w:r>
          </w:p>
        </w:tc>
      </w:tr>
      <w:tr>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新宋体" w:hAnsi="新宋体" w:eastAsia="新宋体"/>
                <w:bCs/>
                <w:color w:val="000000"/>
                <w:szCs w:val="21"/>
              </w:rPr>
            </w:pPr>
            <w:r>
              <w:rPr>
                <w:rFonts w:hint="eastAsia" w:ascii="新宋体" w:hAnsi="新宋体" w:eastAsia="新宋体"/>
                <w:bCs/>
                <w:color w:val="000000"/>
                <w:szCs w:val="21"/>
              </w:rPr>
              <w:t>4</w:t>
            </w:r>
          </w:p>
        </w:tc>
        <w:tc>
          <w:tcPr>
            <w:tcW w:w="5681" w:type="dxa"/>
            <w:tcBorders>
              <w:top w:val="nil"/>
              <w:left w:val="nil"/>
              <w:bottom w:val="single" w:color="auto" w:sz="4" w:space="0"/>
              <w:right w:val="single" w:color="auto" w:sz="4" w:space="0"/>
            </w:tcBorders>
            <w:shd w:val="clear" w:color="auto" w:fill="auto"/>
            <w:vAlign w:val="center"/>
          </w:tcPr>
          <w:p>
            <w:pPr>
              <w:jc w:val="center"/>
              <w:rPr>
                <w:rFonts w:ascii="新宋体" w:hAnsi="新宋体" w:eastAsia="新宋体"/>
                <w:bCs/>
                <w:color w:val="000000"/>
                <w:szCs w:val="21"/>
              </w:rPr>
            </w:pPr>
            <w:r>
              <w:rPr>
                <w:rFonts w:hint="eastAsia" w:ascii="新宋体" w:hAnsi="新宋体" w:eastAsia="新宋体"/>
                <w:bCs/>
                <w:color w:val="000000"/>
                <w:szCs w:val="21"/>
              </w:rPr>
              <w:t>研发深圳海事服务地方经济贡献度数据展示模块</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szCs w:val="21"/>
              </w:rPr>
            </w:pPr>
            <w:r>
              <w:rPr>
                <w:rFonts w:ascii="新宋体" w:hAnsi="新宋体" w:eastAsia="新宋体"/>
                <w:szCs w:val="21"/>
              </w:rPr>
              <w:t>项</w:t>
            </w:r>
          </w:p>
        </w:tc>
        <w:tc>
          <w:tcPr>
            <w:tcW w:w="1393"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szCs w:val="21"/>
              </w:rPr>
            </w:pPr>
            <w:r>
              <w:rPr>
                <w:rFonts w:ascii="新宋体" w:hAnsi="新宋体" w:eastAsia="新宋体"/>
                <w:szCs w:val="21"/>
              </w:rPr>
              <w:t>1</w:t>
            </w:r>
          </w:p>
        </w:tc>
      </w:tr>
      <w:tr>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新宋体" w:hAnsi="新宋体" w:eastAsia="新宋体"/>
                <w:b/>
                <w:color w:val="000000"/>
                <w:szCs w:val="21"/>
              </w:rPr>
            </w:pPr>
            <w:r>
              <w:rPr>
                <w:rFonts w:hint="eastAsia" w:ascii="新宋体" w:hAnsi="新宋体" w:eastAsia="新宋体"/>
                <w:b/>
                <w:color w:val="000000"/>
                <w:szCs w:val="21"/>
              </w:rPr>
              <w:t>二</w:t>
            </w:r>
          </w:p>
        </w:tc>
        <w:tc>
          <w:tcPr>
            <w:tcW w:w="5681" w:type="dxa"/>
            <w:tcBorders>
              <w:top w:val="nil"/>
              <w:left w:val="nil"/>
              <w:bottom w:val="single" w:color="auto" w:sz="4" w:space="0"/>
              <w:right w:val="single" w:color="auto" w:sz="4" w:space="0"/>
            </w:tcBorders>
            <w:shd w:val="clear" w:color="auto" w:fill="auto"/>
            <w:vAlign w:val="center"/>
          </w:tcPr>
          <w:p>
            <w:pPr>
              <w:jc w:val="center"/>
              <w:rPr>
                <w:rFonts w:ascii="新宋体" w:hAnsi="新宋体" w:eastAsia="新宋体"/>
                <w:b/>
                <w:color w:val="000000"/>
                <w:szCs w:val="21"/>
              </w:rPr>
            </w:pPr>
            <w:r>
              <w:rPr>
                <w:rFonts w:hint="eastAsia" w:ascii="新宋体" w:hAnsi="新宋体" w:eastAsia="新宋体"/>
                <w:b/>
                <w:color w:val="000000"/>
                <w:szCs w:val="21"/>
              </w:rPr>
              <w:t>开展涉海安全相关机制及管理规范研究</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b/>
                <w:szCs w:val="21"/>
              </w:rPr>
            </w:pPr>
            <w:r>
              <w:rPr>
                <w:rFonts w:ascii="新宋体" w:hAnsi="新宋体" w:eastAsia="新宋体"/>
                <w:b/>
                <w:szCs w:val="21"/>
              </w:rPr>
              <w:t>项</w:t>
            </w:r>
          </w:p>
        </w:tc>
        <w:tc>
          <w:tcPr>
            <w:tcW w:w="1393"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b/>
                <w:szCs w:val="21"/>
              </w:rPr>
            </w:pPr>
            <w:r>
              <w:rPr>
                <w:rFonts w:ascii="新宋体" w:hAnsi="新宋体" w:eastAsia="新宋体"/>
                <w:b/>
                <w:szCs w:val="21"/>
              </w:rPr>
              <w:t>1</w:t>
            </w:r>
          </w:p>
        </w:tc>
      </w:tr>
      <w:tr>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新宋体" w:hAnsi="新宋体" w:eastAsia="新宋体"/>
                <w:b/>
                <w:szCs w:val="21"/>
              </w:rPr>
            </w:pPr>
            <w:r>
              <w:rPr>
                <w:rFonts w:hint="eastAsia" w:ascii="新宋体" w:hAnsi="新宋体" w:eastAsia="新宋体"/>
                <w:b/>
                <w:szCs w:val="21"/>
              </w:rPr>
              <w:t>三</w:t>
            </w:r>
          </w:p>
        </w:tc>
        <w:tc>
          <w:tcPr>
            <w:tcW w:w="5681" w:type="dxa"/>
            <w:tcBorders>
              <w:top w:val="nil"/>
              <w:left w:val="nil"/>
              <w:bottom w:val="single" w:color="auto" w:sz="4" w:space="0"/>
              <w:right w:val="single" w:color="auto" w:sz="4" w:space="0"/>
            </w:tcBorders>
            <w:shd w:val="clear" w:color="auto" w:fill="auto"/>
            <w:vAlign w:val="center"/>
          </w:tcPr>
          <w:p>
            <w:pPr>
              <w:jc w:val="center"/>
              <w:rPr>
                <w:rFonts w:ascii="新宋体" w:hAnsi="新宋体" w:eastAsia="新宋体"/>
                <w:b/>
                <w:szCs w:val="21"/>
              </w:rPr>
            </w:pPr>
            <w:r>
              <w:rPr>
                <w:rFonts w:ascii="新宋体" w:hAnsi="新宋体" w:eastAsia="新宋体"/>
                <w:b/>
                <w:szCs w:val="21"/>
              </w:rPr>
              <w:t>系统集成与测试</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b/>
                <w:szCs w:val="21"/>
              </w:rPr>
            </w:pPr>
            <w:r>
              <w:rPr>
                <w:rFonts w:ascii="新宋体" w:hAnsi="新宋体" w:eastAsia="新宋体"/>
                <w:b/>
                <w:szCs w:val="21"/>
              </w:rPr>
              <w:t>项</w:t>
            </w:r>
          </w:p>
        </w:tc>
        <w:tc>
          <w:tcPr>
            <w:tcW w:w="1393"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b/>
                <w:szCs w:val="21"/>
              </w:rPr>
            </w:pPr>
            <w:r>
              <w:rPr>
                <w:rFonts w:ascii="新宋体" w:hAnsi="新宋体" w:eastAsia="新宋体"/>
                <w:b/>
                <w:szCs w:val="21"/>
              </w:rPr>
              <w:t>1</w:t>
            </w:r>
          </w:p>
        </w:tc>
      </w:tr>
      <w:tr>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新宋体" w:hAnsi="新宋体" w:eastAsia="新宋体"/>
                <w:b/>
                <w:szCs w:val="21"/>
              </w:rPr>
            </w:pPr>
            <w:r>
              <w:rPr>
                <w:rFonts w:hint="eastAsia" w:ascii="新宋体" w:hAnsi="新宋体" w:eastAsia="新宋体"/>
                <w:b/>
                <w:szCs w:val="21"/>
              </w:rPr>
              <w:t>四</w:t>
            </w:r>
          </w:p>
        </w:tc>
        <w:tc>
          <w:tcPr>
            <w:tcW w:w="5681" w:type="dxa"/>
            <w:tcBorders>
              <w:top w:val="nil"/>
              <w:left w:val="nil"/>
              <w:bottom w:val="single" w:color="auto" w:sz="4" w:space="0"/>
              <w:right w:val="single" w:color="auto" w:sz="4" w:space="0"/>
            </w:tcBorders>
            <w:shd w:val="clear" w:color="auto" w:fill="auto"/>
            <w:vAlign w:val="center"/>
          </w:tcPr>
          <w:p>
            <w:pPr>
              <w:jc w:val="center"/>
              <w:rPr>
                <w:rFonts w:ascii="新宋体" w:hAnsi="新宋体" w:eastAsia="新宋体"/>
                <w:b/>
                <w:szCs w:val="21"/>
              </w:rPr>
            </w:pPr>
            <w:r>
              <w:rPr>
                <w:rFonts w:ascii="新宋体" w:hAnsi="新宋体" w:eastAsia="新宋体"/>
                <w:b/>
                <w:szCs w:val="21"/>
              </w:rPr>
              <w:t>系统部署、</w:t>
            </w:r>
            <w:r>
              <w:rPr>
                <w:rFonts w:hint="eastAsia" w:ascii="新宋体" w:hAnsi="新宋体" w:eastAsia="新宋体"/>
                <w:b/>
                <w:szCs w:val="21"/>
              </w:rPr>
              <w:t>组织实施、</w:t>
            </w:r>
            <w:r>
              <w:rPr>
                <w:rFonts w:ascii="新宋体" w:hAnsi="新宋体" w:eastAsia="新宋体"/>
                <w:b/>
                <w:szCs w:val="21"/>
              </w:rPr>
              <w:t>培训及技术</w:t>
            </w:r>
            <w:r>
              <w:rPr>
                <w:rFonts w:hint="eastAsia" w:ascii="新宋体" w:hAnsi="新宋体" w:eastAsia="新宋体"/>
                <w:b/>
                <w:szCs w:val="21"/>
              </w:rPr>
              <w:t>支持</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b/>
                <w:szCs w:val="21"/>
              </w:rPr>
            </w:pPr>
            <w:r>
              <w:rPr>
                <w:rFonts w:ascii="新宋体" w:hAnsi="新宋体" w:eastAsia="新宋体"/>
                <w:b/>
                <w:szCs w:val="21"/>
              </w:rPr>
              <w:t>项</w:t>
            </w:r>
          </w:p>
        </w:tc>
        <w:tc>
          <w:tcPr>
            <w:tcW w:w="1393" w:type="dxa"/>
            <w:tcBorders>
              <w:top w:val="nil"/>
              <w:left w:val="nil"/>
              <w:bottom w:val="single" w:color="auto" w:sz="4" w:space="0"/>
              <w:right w:val="single" w:color="auto" w:sz="4" w:space="0"/>
            </w:tcBorders>
            <w:shd w:val="clear" w:color="auto" w:fill="auto"/>
            <w:noWrap/>
            <w:vAlign w:val="center"/>
          </w:tcPr>
          <w:p>
            <w:pPr>
              <w:jc w:val="center"/>
              <w:rPr>
                <w:rFonts w:ascii="新宋体" w:hAnsi="新宋体" w:eastAsia="新宋体"/>
                <w:b/>
                <w:szCs w:val="21"/>
              </w:rPr>
            </w:pPr>
            <w:r>
              <w:rPr>
                <w:rFonts w:ascii="新宋体" w:hAnsi="新宋体" w:eastAsia="新宋体"/>
                <w:b/>
                <w:szCs w:val="21"/>
              </w:rPr>
              <w:t>1</w:t>
            </w:r>
          </w:p>
        </w:tc>
      </w:tr>
    </w:tbl>
    <w:p>
      <w:pPr>
        <w:rPr>
          <w:rFonts w:ascii="新宋体" w:hAnsi="新宋体" w:eastAsia="新宋体"/>
          <w:b/>
          <w:bCs/>
          <w:szCs w:val="21"/>
        </w:rPr>
      </w:pPr>
    </w:p>
    <w:p>
      <w:pPr>
        <w:pStyle w:val="3"/>
        <w:rPr>
          <w:rFonts w:ascii="新宋体" w:hAnsi="新宋体" w:eastAsia="新宋体"/>
          <w:kern w:val="44"/>
          <w:szCs w:val="28"/>
        </w:rPr>
      </w:pPr>
      <w:r>
        <w:rPr>
          <w:rFonts w:hint="eastAsia" w:ascii="新宋体" w:hAnsi="新宋体" w:eastAsia="新宋体"/>
          <w:kern w:val="44"/>
          <w:szCs w:val="28"/>
        </w:rPr>
        <w:t>四、项目技术要求</w:t>
      </w:r>
    </w:p>
    <w:p>
      <w:pPr>
        <w:pStyle w:val="4"/>
        <w:spacing w:line="360" w:lineRule="auto"/>
        <w:rPr>
          <w:rFonts w:ascii="新宋体" w:hAnsi="新宋体" w:eastAsia="新宋体"/>
          <w:b w:val="0"/>
          <w:bCs w:val="0"/>
          <w:color w:val="000000"/>
          <w:sz w:val="24"/>
          <w:szCs w:val="24"/>
        </w:rPr>
      </w:pPr>
      <w:bookmarkStart w:id="13" w:name="_Toc318653874"/>
      <w:bookmarkStart w:id="14" w:name="_Toc367958529"/>
      <w:bookmarkStart w:id="15" w:name="_Toc318466386"/>
      <w:bookmarkStart w:id="16" w:name="_Toc318469007"/>
      <w:bookmarkStart w:id="17" w:name="_Toc105580071"/>
      <w:r>
        <w:rPr>
          <w:rFonts w:hint="eastAsia" w:ascii="新宋体" w:hAnsi="新宋体" w:eastAsia="新宋体"/>
          <w:color w:val="000000"/>
          <w:sz w:val="24"/>
          <w:szCs w:val="24"/>
        </w:rPr>
        <w:t>1、</w:t>
      </w:r>
      <w:r>
        <w:rPr>
          <w:rFonts w:ascii="新宋体" w:hAnsi="新宋体" w:eastAsia="新宋体"/>
          <w:color w:val="000000"/>
          <w:sz w:val="24"/>
          <w:szCs w:val="24"/>
        </w:rPr>
        <w:t>总体建设</w:t>
      </w:r>
      <w:bookmarkEnd w:id="13"/>
      <w:bookmarkEnd w:id="14"/>
      <w:bookmarkEnd w:id="15"/>
      <w:bookmarkEnd w:id="16"/>
      <w:r>
        <w:rPr>
          <w:rFonts w:ascii="新宋体" w:hAnsi="新宋体" w:eastAsia="新宋体"/>
          <w:color w:val="000000"/>
          <w:sz w:val="24"/>
          <w:szCs w:val="24"/>
        </w:rPr>
        <w:t>要求</w:t>
      </w:r>
      <w:bookmarkEnd w:id="17"/>
    </w:p>
    <w:p>
      <w:pPr>
        <w:pStyle w:val="5"/>
        <w:spacing w:line="360" w:lineRule="auto"/>
        <w:rPr>
          <w:rFonts w:ascii="新宋体" w:hAnsi="新宋体" w:eastAsia="新宋体"/>
          <w:sz w:val="21"/>
          <w:szCs w:val="21"/>
        </w:rPr>
      </w:pPr>
      <w:bookmarkStart w:id="18" w:name="_Toc432161691"/>
      <w:bookmarkStart w:id="19" w:name="_Toc105580072"/>
      <w:r>
        <w:rPr>
          <w:rFonts w:hint="eastAsia" w:ascii="新宋体" w:hAnsi="新宋体" w:eastAsia="新宋体"/>
          <w:sz w:val="21"/>
          <w:szCs w:val="21"/>
        </w:rPr>
        <w:t>1</w:t>
      </w:r>
      <w:r>
        <w:rPr>
          <w:rFonts w:ascii="新宋体" w:hAnsi="新宋体" w:eastAsia="新宋体"/>
          <w:sz w:val="21"/>
          <w:szCs w:val="21"/>
        </w:rPr>
        <w:t>.1 总体架构</w:t>
      </w:r>
      <w:bookmarkEnd w:id="18"/>
      <w:r>
        <w:rPr>
          <w:rFonts w:ascii="新宋体" w:hAnsi="新宋体" w:eastAsia="新宋体"/>
          <w:sz w:val="21"/>
          <w:szCs w:val="21"/>
        </w:rPr>
        <w:t>要求</w:t>
      </w:r>
      <w:bookmarkEnd w:id="19"/>
    </w:p>
    <w:p>
      <w:pPr>
        <w:widowControl/>
        <w:spacing w:line="360" w:lineRule="auto"/>
        <w:ind w:firstLine="420" w:firstLineChars="200"/>
        <w:jc w:val="left"/>
        <w:rPr>
          <w:rFonts w:ascii="新宋体" w:hAnsi="新宋体" w:eastAsia="新宋体"/>
          <w:color w:val="000000"/>
          <w:szCs w:val="21"/>
          <w:lang w:bidi="ar"/>
        </w:rPr>
      </w:pPr>
      <w:r>
        <w:rPr>
          <w:rFonts w:ascii="新宋体" w:hAnsi="新宋体" w:eastAsia="新宋体"/>
          <w:color w:val="000000"/>
          <w:szCs w:val="21"/>
          <w:lang w:bidi="ar"/>
        </w:rPr>
        <w:t>为保障本工程的顺利实施，从基础设施层、数据层、支撑层、应用层、用户层</w:t>
      </w:r>
      <w:r>
        <w:rPr>
          <w:rFonts w:hint="eastAsia" w:ascii="新宋体" w:hAnsi="新宋体" w:eastAsia="新宋体"/>
          <w:color w:val="000000"/>
          <w:szCs w:val="21"/>
          <w:lang w:bidi="ar"/>
        </w:rPr>
        <w:t>五</w:t>
      </w:r>
      <w:r>
        <w:rPr>
          <w:rFonts w:ascii="新宋体" w:hAnsi="新宋体" w:eastAsia="新宋体"/>
          <w:color w:val="000000"/>
          <w:szCs w:val="21"/>
          <w:lang w:bidi="ar"/>
        </w:rPr>
        <w:t>个方面构建工程总体框架。</w:t>
      </w:r>
    </w:p>
    <w:p>
      <w:pPr>
        <w:pStyle w:val="12"/>
        <w:ind w:firstLine="420"/>
        <w:rPr>
          <w:rFonts w:ascii="新宋体" w:hAnsi="新宋体" w:eastAsia="新宋体"/>
          <w:color w:val="000000"/>
          <w:sz w:val="21"/>
          <w:szCs w:val="21"/>
          <w:lang w:val="en-US" w:bidi="ar"/>
        </w:rPr>
      </w:pPr>
      <w:r>
        <w:rPr>
          <w:rFonts w:hint="eastAsia" w:ascii="新宋体" w:hAnsi="新宋体" w:eastAsia="新宋体"/>
          <w:color w:val="000000"/>
          <w:sz w:val="21"/>
          <w:szCs w:val="21"/>
          <w:lang w:val="en-US" w:bidi="ar"/>
        </w:rPr>
        <w:t>（1）基础设施层</w:t>
      </w:r>
    </w:p>
    <w:p>
      <w:pPr>
        <w:pStyle w:val="12"/>
        <w:ind w:firstLine="420"/>
        <w:rPr>
          <w:rFonts w:ascii="新宋体" w:hAnsi="新宋体" w:eastAsia="新宋体"/>
          <w:color w:val="000000"/>
          <w:sz w:val="21"/>
          <w:szCs w:val="21"/>
          <w:lang w:val="en-US" w:bidi="ar"/>
        </w:rPr>
      </w:pPr>
      <w:r>
        <w:rPr>
          <w:rFonts w:hint="eastAsia" w:ascii="新宋体" w:hAnsi="新宋体" w:eastAsia="新宋体"/>
          <w:color w:val="000000"/>
          <w:sz w:val="21"/>
          <w:szCs w:val="21"/>
          <w:lang w:val="en-US" w:bidi="ar"/>
        </w:rPr>
        <w:t>基础设施层主要为本项目系统的运行提供计算、存储、网络、安全等基础设施保障，本项目拟部署于深圳海事局二级数据中心环境，由其提供基础设施保障。</w:t>
      </w:r>
    </w:p>
    <w:p>
      <w:pPr>
        <w:pStyle w:val="12"/>
        <w:ind w:firstLine="420"/>
        <w:rPr>
          <w:rFonts w:ascii="新宋体" w:hAnsi="新宋体" w:eastAsia="新宋体"/>
          <w:color w:val="000000"/>
          <w:sz w:val="21"/>
          <w:szCs w:val="21"/>
          <w:lang w:val="en-US" w:bidi="ar"/>
        </w:rPr>
      </w:pPr>
      <w:r>
        <w:rPr>
          <w:rFonts w:hint="eastAsia" w:ascii="新宋体" w:hAnsi="新宋体" w:eastAsia="新宋体"/>
          <w:color w:val="000000"/>
          <w:sz w:val="21"/>
          <w:szCs w:val="21"/>
          <w:lang w:val="en-US" w:bidi="ar"/>
        </w:rPr>
        <w:t>（2）数据资源层</w:t>
      </w:r>
    </w:p>
    <w:p>
      <w:pPr>
        <w:pStyle w:val="12"/>
        <w:ind w:firstLine="420"/>
        <w:rPr>
          <w:rFonts w:ascii="新宋体" w:hAnsi="新宋体" w:eastAsia="新宋体"/>
          <w:color w:val="000000"/>
          <w:sz w:val="21"/>
          <w:szCs w:val="21"/>
          <w:lang w:val="en-US" w:bidi="ar"/>
        </w:rPr>
      </w:pPr>
      <w:r>
        <w:rPr>
          <w:rFonts w:hint="eastAsia" w:ascii="新宋体" w:hAnsi="新宋体" w:eastAsia="新宋体"/>
          <w:color w:val="000000"/>
          <w:sz w:val="21"/>
          <w:szCs w:val="21"/>
          <w:lang w:val="en-US" w:bidi="ar"/>
        </w:rPr>
        <w:t>数据资源层主要是基于深圳海事局二级数据中心数据资源及共享交换海事一级数据中心数据资源，在此基础上构建涉海安全预警数据库，为本项目系统运行提供数据与信息支撑。</w:t>
      </w:r>
    </w:p>
    <w:p>
      <w:pPr>
        <w:pStyle w:val="12"/>
        <w:ind w:firstLine="420"/>
        <w:rPr>
          <w:rFonts w:ascii="新宋体" w:hAnsi="新宋体" w:eastAsia="新宋体"/>
          <w:color w:val="000000"/>
          <w:sz w:val="21"/>
          <w:szCs w:val="21"/>
          <w:lang w:val="en-US" w:bidi="ar"/>
        </w:rPr>
      </w:pPr>
      <w:r>
        <w:rPr>
          <w:rFonts w:hint="eastAsia" w:ascii="新宋体" w:hAnsi="新宋体" w:eastAsia="新宋体"/>
          <w:color w:val="000000"/>
          <w:sz w:val="21"/>
          <w:szCs w:val="21"/>
          <w:lang w:val="en-US" w:bidi="ar"/>
        </w:rPr>
        <w:t>（3）应用支撑层</w:t>
      </w:r>
    </w:p>
    <w:p>
      <w:pPr>
        <w:pStyle w:val="12"/>
        <w:ind w:firstLine="420"/>
        <w:rPr>
          <w:rFonts w:ascii="新宋体" w:hAnsi="新宋体" w:eastAsia="新宋体"/>
          <w:color w:val="000000"/>
          <w:sz w:val="21"/>
          <w:szCs w:val="21"/>
          <w:lang w:val="en-US" w:bidi="ar"/>
        </w:rPr>
      </w:pPr>
      <w:r>
        <w:rPr>
          <w:rFonts w:hint="eastAsia" w:ascii="新宋体" w:hAnsi="新宋体" w:eastAsia="新宋体"/>
          <w:color w:val="000000"/>
          <w:sz w:val="21"/>
          <w:szCs w:val="21"/>
          <w:lang w:val="en-US" w:bidi="ar"/>
        </w:rPr>
        <w:t>应用支撑层主要是基于海事一体化信息平台及深圳海事局二级数据中心，为本项目系统运行提供软件支撑服务，包括统一门户、统一身份认证、电子海图显示平台、应用中间件、微服务架构、数据分析工具、数据可视化工具等。</w:t>
      </w:r>
    </w:p>
    <w:p>
      <w:pPr>
        <w:pStyle w:val="12"/>
        <w:ind w:firstLine="420"/>
        <w:rPr>
          <w:rFonts w:ascii="新宋体" w:hAnsi="新宋体" w:eastAsia="新宋体"/>
          <w:color w:val="000000"/>
          <w:sz w:val="21"/>
          <w:szCs w:val="21"/>
          <w:lang w:val="en-US" w:bidi="ar"/>
        </w:rPr>
      </w:pPr>
      <w:r>
        <w:rPr>
          <w:rFonts w:hint="eastAsia" w:ascii="新宋体" w:hAnsi="新宋体" w:eastAsia="新宋体"/>
          <w:color w:val="000000"/>
          <w:sz w:val="21"/>
          <w:szCs w:val="21"/>
          <w:lang w:val="en-US" w:bidi="ar"/>
        </w:rPr>
        <w:t>（4）业务应用层</w:t>
      </w:r>
    </w:p>
    <w:p>
      <w:pPr>
        <w:pStyle w:val="12"/>
        <w:ind w:firstLine="420"/>
        <w:rPr>
          <w:rFonts w:ascii="新宋体" w:hAnsi="新宋体" w:eastAsia="新宋体"/>
          <w:color w:val="000000"/>
          <w:sz w:val="21"/>
          <w:szCs w:val="21"/>
          <w:lang w:val="en-US" w:bidi="ar"/>
        </w:rPr>
      </w:pPr>
      <w:r>
        <w:rPr>
          <w:rFonts w:hint="eastAsia" w:ascii="新宋体" w:hAnsi="新宋体" w:eastAsia="新宋体"/>
          <w:color w:val="000000"/>
          <w:sz w:val="21"/>
          <w:szCs w:val="21"/>
          <w:lang w:val="en-US" w:bidi="ar"/>
        </w:rPr>
        <w:t>业务应用层面向涉海安全监管需要，提供涉海安全预警数据处理、涉海安全预警模型优化、涉海安全要素全景图、深圳海事服务地方经济贡献度数据展示等业务应用功能。</w:t>
      </w:r>
    </w:p>
    <w:p>
      <w:pPr>
        <w:pStyle w:val="12"/>
        <w:ind w:firstLine="420"/>
        <w:rPr>
          <w:rFonts w:ascii="新宋体" w:hAnsi="新宋体" w:eastAsia="新宋体"/>
          <w:color w:val="000000"/>
          <w:sz w:val="21"/>
          <w:szCs w:val="21"/>
          <w:lang w:val="en-US" w:bidi="ar"/>
        </w:rPr>
      </w:pPr>
      <w:r>
        <w:rPr>
          <w:rFonts w:hint="eastAsia" w:ascii="新宋体" w:hAnsi="新宋体" w:eastAsia="新宋体"/>
          <w:color w:val="000000"/>
          <w:sz w:val="21"/>
          <w:szCs w:val="21"/>
          <w:lang w:val="en-US" w:bidi="ar"/>
        </w:rPr>
        <w:t>（5）用户层</w:t>
      </w:r>
    </w:p>
    <w:p>
      <w:pPr>
        <w:pStyle w:val="12"/>
        <w:ind w:firstLine="561" w:firstLineChars="0"/>
        <w:rPr>
          <w:rFonts w:ascii="新宋体" w:hAnsi="新宋体" w:eastAsia="新宋体"/>
          <w:sz w:val="21"/>
          <w:szCs w:val="21"/>
          <w:lang w:val="en-US"/>
        </w:rPr>
      </w:pPr>
      <w:r>
        <w:rPr>
          <w:rFonts w:hint="eastAsia" w:ascii="新宋体" w:hAnsi="新宋体" w:eastAsia="新宋体"/>
          <w:color w:val="000000"/>
          <w:sz w:val="21"/>
          <w:szCs w:val="21"/>
          <w:lang w:val="en-US" w:bidi="ar"/>
        </w:rPr>
        <w:t>用户层主要面向深圳海事局局领导、业务部门及各分支局用户提供各类全景信息的展示与交互，并可为海事监管指挥等其他系统提供涉海安全预警信息服务</w:t>
      </w:r>
      <w:r>
        <w:rPr>
          <w:rFonts w:ascii="新宋体" w:hAnsi="新宋体" w:eastAsia="新宋体"/>
          <w:color w:val="000000"/>
          <w:sz w:val="21"/>
          <w:szCs w:val="21"/>
          <w:lang w:val="en-US" w:bidi="ar"/>
        </w:rPr>
        <w:t>。</w:t>
      </w:r>
    </w:p>
    <w:p>
      <w:pPr>
        <w:pStyle w:val="5"/>
        <w:spacing w:line="360" w:lineRule="auto"/>
        <w:jc w:val="left"/>
        <w:rPr>
          <w:rFonts w:ascii="新宋体" w:hAnsi="新宋体" w:eastAsia="新宋体"/>
          <w:sz w:val="21"/>
          <w:szCs w:val="21"/>
        </w:rPr>
      </w:pPr>
      <w:bookmarkStart w:id="20" w:name="_Toc426480291"/>
      <w:bookmarkStart w:id="21" w:name="_Toc105580074"/>
      <w:r>
        <w:rPr>
          <w:rFonts w:ascii="新宋体" w:hAnsi="新宋体" w:eastAsia="新宋体"/>
          <w:sz w:val="21"/>
          <w:szCs w:val="21"/>
        </w:rPr>
        <w:t>1.2 系统</w:t>
      </w:r>
      <w:bookmarkEnd w:id="20"/>
      <w:r>
        <w:rPr>
          <w:rFonts w:ascii="新宋体" w:hAnsi="新宋体" w:eastAsia="新宋体"/>
          <w:sz w:val="21"/>
          <w:szCs w:val="21"/>
        </w:rPr>
        <w:t>总体部署</w:t>
      </w:r>
      <w:bookmarkEnd w:id="21"/>
      <w:r>
        <w:rPr>
          <w:rFonts w:hint="eastAsia" w:ascii="新宋体" w:hAnsi="新宋体" w:eastAsia="新宋体"/>
          <w:sz w:val="21"/>
          <w:szCs w:val="21"/>
        </w:rPr>
        <w:t>要求</w:t>
      </w:r>
    </w:p>
    <w:p>
      <w:pPr>
        <w:pStyle w:val="11"/>
        <w:ind w:firstLine="424"/>
        <w:rPr>
          <w:rFonts w:ascii="新宋体" w:hAnsi="新宋体" w:eastAsia="新宋体" w:cs="Times New Roman"/>
          <w:sz w:val="21"/>
          <w:szCs w:val="21"/>
        </w:rPr>
      </w:pPr>
      <w:r>
        <w:rPr>
          <w:rFonts w:hint="eastAsia" w:ascii="新宋体" w:hAnsi="新宋体" w:eastAsia="新宋体" w:cs="Times New Roman"/>
          <w:sz w:val="21"/>
          <w:szCs w:val="21"/>
          <w:lang w:bidi="en-US"/>
        </w:rPr>
        <w:t>本系统部署于深圳海事局二级数据中心，通过海事信息专网与海事一体化应用支撑平台进行单点登录和统一身份认证，并可调用海事一体化应用支撑平台所提供的应用支撑组件及服务。深圳直属局用户、分支局用户通过海事信息专网访问本系统</w:t>
      </w:r>
      <w:r>
        <w:rPr>
          <w:rFonts w:ascii="新宋体" w:hAnsi="新宋体" w:eastAsia="新宋体" w:cs="Times New Roman"/>
          <w:sz w:val="21"/>
          <w:szCs w:val="21"/>
        </w:rPr>
        <w:t>。</w:t>
      </w:r>
    </w:p>
    <w:p>
      <w:pPr>
        <w:pStyle w:val="5"/>
        <w:spacing w:line="360" w:lineRule="auto"/>
        <w:jc w:val="left"/>
        <w:rPr>
          <w:rFonts w:ascii="新宋体" w:hAnsi="新宋体" w:eastAsia="新宋体"/>
          <w:sz w:val="21"/>
          <w:szCs w:val="21"/>
        </w:rPr>
      </w:pPr>
      <w:bookmarkStart w:id="22" w:name="_Toc105580075"/>
      <w:bookmarkStart w:id="23" w:name="_Toc520798996"/>
      <w:r>
        <w:rPr>
          <w:rFonts w:hint="eastAsia" w:ascii="新宋体" w:hAnsi="新宋体" w:eastAsia="新宋体"/>
          <w:sz w:val="21"/>
          <w:szCs w:val="21"/>
        </w:rPr>
        <w:t>1</w:t>
      </w:r>
      <w:r>
        <w:rPr>
          <w:rFonts w:ascii="新宋体" w:hAnsi="新宋体" w:eastAsia="新宋体"/>
          <w:sz w:val="21"/>
          <w:szCs w:val="21"/>
        </w:rPr>
        <w:t>.3 系统工程边界</w:t>
      </w:r>
      <w:bookmarkEnd w:id="22"/>
      <w:bookmarkEnd w:id="23"/>
      <w:r>
        <w:rPr>
          <w:rFonts w:hint="eastAsia" w:ascii="新宋体" w:hAnsi="新宋体" w:eastAsia="新宋体"/>
          <w:sz w:val="21"/>
          <w:szCs w:val="21"/>
        </w:rPr>
        <w:t>要求</w:t>
      </w:r>
    </w:p>
    <w:p>
      <w:pPr>
        <w:spacing w:line="360" w:lineRule="auto"/>
        <w:ind w:firstLine="560"/>
        <w:rPr>
          <w:rFonts w:ascii="新宋体" w:hAnsi="新宋体" w:eastAsia="新宋体"/>
          <w:color w:val="000000"/>
          <w:szCs w:val="21"/>
        </w:rPr>
      </w:pPr>
      <w:r>
        <w:rPr>
          <w:rFonts w:ascii="新宋体" w:hAnsi="新宋体" w:eastAsia="新宋体"/>
          <w:color w:val="000000"/>
          <w:szCs w:val="21"/>
        </w:rPr>
        <w:t>本次工程应充分考虑与相关项目的统一性，避免建设过程中技术路线冲突和不必要的重复建设。</w:t>
      </w:r>
      <w:bookmarkStart w:id="24" w:name="_Toc105580076"/>
    </w:p>
    <w:p>
      <w:pPr>
        <w:pStyle w:val="4"/>
        <w:spacing w:before="120" w:beforeLines="50" w:after="120" w:afterLines="50"/>
        <w:ind w:right="420" w:rightChars="200"/>
        <w:rPr>
          <w:rFonts w:ascii="新宋体" w:hAnsi="新宋体" w:eastAsia="新宋体"/>
          <w:color w:val="000000"/>
          <w:sz w:val="24"/>
          <w:szCs w:val="24"/>
        </w:rPr>
      </w:pPr>
      <w:r>
        <w:rPr>
          <w:rFonts w:hint="eastAsia" w:ascii="新宋体" w:hAnsi="新宋体" w:eastAsia="新宋体"/>
          <w:color w:val="000000"/>
          <w:sz w:val="24"/>
          <w:szCs w:val="24"/>
        </w:rPr>
        <w:t>2、</w:t>
      </w:r>
      <w:r>
        <w:rPr>
          <w:rFonts w:ascii="新宋体" w:hAnsi="新宋体" w:eastAsia="新宋体"/>
          <w:color w:val="000000"/>
          <w:sz w:val="24"/>
          <w:szCs w:val="24"/>
        </w:rPr>
        <w:t>系统技术要求</w:t>
      </w:r>
      <w:bookmarkEnd w:id="24"/>
    </w:p>
    <w:p>
      <w:pPr>
        <w:pStyle w:val="5"/>
        <w:spacing w:line="360" w:lineRule="auto"/>
        <w:rPr>
          <w:rFonts w:ascii="新宋体" w:hAnsi="新宋体" w:eastAsia="新宋体"/>
          <w:sz w:val="21"/>
          <w:szCs w:val="21"/>
        </w:rPr>
      </w:pPr>
      <w:bookmarkStart w:id="25" w:name="_Toc105580077"/>
      <w:bookmarkStart w:id="26" w:name="_Toc427133325"/>
      <w:r>
        <w:rPr>
          <w:rFonts w:ascii="新宋体" w:hAnsi="新宋体" w:eastAsia="新宋体"/>
          <w:sz w:val="21"/>
          <w:szCs w:val="21"/>
        </w:rPr>
        <w:t>2.1 应用系统开发总体要求</w:t>
      </w:r>
      <w:bookmarkEnd w:id="25"/>
    </w:p>
    <w:p>
      <w:pPr>
        <w:pStyle w:val="11"/>
        <w:ind w:firstLine="424"/>
        <w:rPr>
          <w:rFonts w:ascii="新宋体" w:hAnsi="新宋体" w:eastAsia="新宋体" w:cs="Times New Roman"/>
          <w:sz w:val="21"/>
          <w:szCs w:val="21"/>
          <w:lang w:bidi="ar"/>
        </w:rPr>
      </w:pPr>
      <w:r>
        <w:rPr>
          <w:rFonts w:ascii="新宋体" w:hAnsi="新宋体" w:eastAsia="新宋体" w:cs="Times New Roman"/>
          <w:sz w:val="21"/>
          <w:szCs w:val="21"/>
          <w:lang w:bidi="ar"/>
        </w:rPr>
        <w:t>应用开发需重点满足《海事信息系统技术规范-平台集成规范》、《海事信息系统技术规范-平台数据规范》要求，并遵循以下原则：</w:t>
      </w:r>
    </w:p>
    <w:p>
      <w:pPr>
        <w:pStyle w:val="11"/>
        <w:ind w:firstLine="424"/>
        <w:rPr>
          <w:rFonts w:ascii="新宋体" w:hAnsi="新宋体" w:eastAsia="新宋体" w:cs="Times New Roman"/>
          <w:sz w:val="21"/>
          <w:szCs w:val="21"/>
          <w:lang w:bidi="ar"/>
        </w:rPr>
      </w:pPr>
      <w:r>
        <w:rPr>
          <w:rFonts w:ascii="新宋体" w:hAnsi="新宋体" w:eastAsia="新宋体" w:cs="Times New Roman"/>
          <w:sz w:val="21"/>
          <w:szCs w:val="21"/>
          <w:lang w:bidi="ar"/>
        </w:rPr>
        <w:t>1、字符集规范：为了实现“统一部署，集中管控”目标，数据库部署字符集要求UTF-8;</w:t>
      </w:r>
    </w:p>
    <w:p>
      <w:pPr>
        <w:pStyle w:val="11"/>
        <w:ind w:firstLine="424"/>
        <w:rPr>
          <w:rFonts w:ascii="新宋体" w:hAnsi="新宋体" w:eastAsia="新宋体" w:cs="Times New Roman"/>
          <w:sz w:val="21"/>
          <w:szCs w:val="21"/>
          <w:lang w:bidi="ar"/>
        </w:rPr>
      </w:pPr>
      <w:r>
        <w:rPr>
          <w:rFonts w:ascii="新宋体" w:hAnsi="新宋体" w:eastAsia="新宋体" w:cs="Times New Roman"/>
          <w:sz w:val="21"/>
          <w:szCs w:val="21"/>
          <w:lang w:bidi="ar"/>
        </w:rPr>
        <w:t>2、浏览器版本规范：业务系统支持Google</w:t>
      </w:r>
      <w:r>
        <w:rPr>
          <w:rFonts w:ascii="新宋体" w:hAnsi="新宋体" w:eastAsia="新宋体"/>
          <w:sz w:val="21"/>
          <w:szCs w:val="21"/>
          <w:lang w:bidi="ar"/>
        </w:rPr>
        <w:t> </w:t>
      </w:r>
      <w:r>
        <w:rPr>
          <w:rFonts w:ascii="新宋体" w:hAnsi="新宋体" w:eastAsia="新宋体" w:cs="Times New Roman"/>
          <w:sz w:val="21"/>
          <w:szCs w:val="21"/>
          <w:lang w:bidi="ar"/>
        </w:rPr>
        <w:t>Chrome、Firefox、IE10、Safari等主流浏览器；</w:t>
      </w:r>
    </w:p>
    <w:p>
      <w:pPr>
        <w:pStyle w:val="11"/>
        <w:ind w:firstLine="424"/>
        <w:rPr>
          <w:rFonts w:ascii="新宋体" w:hAnsi="新宋体" w:eastAsia="新宋体" w:cs="Times New Roman"/>
          <w:sz w:val="21"/>
          <w:szCs w:val="21"/>
          <w:lang w:bidi="ar"/>
        </w:rPr>
      </w:pPr>
      <w:r>
        <w:rPr>
          <w:rFonts w:hint="eastAsia" w:ascii="新宋体" w:hAnsi="新宋体" w:eastAsia="新宋体" w:cs="Times New Roman"/>
          <w:sz w:val="21"/>
          <w:szCs w:val="21"/>
          <w:lang w:bidi="ar"/>
        </w:rPr>
        <w:t>3</w:t>
      </w:r>
      <w:r>
        <w:rPr>
          <w:rFonts w:ascii="新宋体" w:hAnsi="新宋体" w:eastAsia="新宋体" w:cs="Times New Roman"/>
          <w:sz w:val="21"/>
          <w:szCs w:val="21"/>
          <w:lang w:bidi="ar"/>
        </w:rPr>
        <w:t>、WebService服务设计与开发规范：</w:t>
      </w:r>
      <w:r>
        <w:rPr>
          <w:rFonts w:hint="eastAsia" w:ascii="新宋体" w:hAnsi="新宋体" w:eastAsia="新宋体" w:cs="Times New Roman"/>
          <w:sz w:val="21"/>
          <w:szCs w:val="21"/>
          <w:lang w:bidi="ar"/>
        </w:rPr>
        <w:t>系统开发中</w:t>
      </w:r>
      <w:r>
        <w:rPr>
          <w:rFonts w:ascii="新宋体" w:hAnsi="新宋体" w:eastAsia="新宋体" w:cs="Times New Roman"/>
          <w:sz w:val="21"/>
          <w:szCs w:val="21"/>
          <w:lang w:bidi="ar"/>
        </w:rPr>
        <w:t>应该遵循《海事信息系统技术规范-平台集成规范》系统服务识别指南和系统服务开发指南两个章节。</w:t>
      </w:r>
    </w:p>
    <w:bookmarkEnd w:id="26"/>
    <w:p>
      <w:pPr>
        <w:pStyle w:val="5"/>
        <w:spacing w:line="360" w:lineRule="auto"/>
        <w:rPr>
          <w:rFonts w:ascii="新宋体" w:hAnsi="新宋体" w:eastAsia="新宋体"/>
          <w:sz w:val="21"/>
          <w:szCs w:val="21"/>
          <w:lang w:bidi="en-US"/>
        </w:rPr>
      </w:pPr>
      <w:bookmarkStart w:id="27" w:name="_Toc105580078"/>
      <w:r>
        <w:rPr>
          <w:rFonts w:hint="eastAsia" w:ascii="新宋体" w:hAnsi="新宋体" w:eastAsia="新宋体"/>
          <w:sz w:val="21"/>
          <w:szCs w:val="21"/>
          <w:lang w:bidi="en-US"/>
        </w:rPr>
        <w:t>2</w:t>
      </w:r>
      <w:r>
        <w:rPr>
          <w:rFonts w:ascii="新宋体" w:hAnsi="新宋体" w:eastAsia="新宋体"/>
          <w:sz w:val="21"/>
          <w:szCs w:val="21"/>
          <w:lang w:bidi="en-US"/>
        </w:rPr>
        <w:t>.2 系统功能要求</w:t>
      </w:r>
      <w:bookmarkEnd w:id="27"/>
    </w:p>
    <w:p>
      <w:pPr>
        <w:pStyle w:val="7"/>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2</w:t>
      </w:r>
      <w:r>
        <w:rPr>
          <w:rFonts w:ascii="新宋体" w:hAnsi="新宋体" w:eastAsia="新宋体"/>
          <w:color w:val="000000"/>
          <w:sz w:val="21"/>
          <w:szCs w:val="21"/>
        </w:rPr>
        <w:t xml:space="preserve">.2.1 </w:t>
      </w:r>
      <w:r>
        <w:rPr>
          <w:rFonts w:hint="eastAsia" w:ascii="新宋体" w:hAnsi="新宋体" w:eastAsia="新宋体"/>
          <w:bCs/>
          <w:color w:val="000000"/>
          <w:sz w:val="21"/>
          <w:szCs w:val="21"/>
        </w:rPr>
        <w:t>涉海安全数据处理要求</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本系统需要依托深圳海事局二级数据中心、深圳海事监管指挥系统和预警平台一期工程提供的数据开展全景图展示及安全预警分析，需要采集汇聚船舶报告数据、险情上报数据、事故调查统计数据、航运公司安全管理数据、船员管理数据、危管防污数据、船舶安全监督管理数据等数据资源。</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项目建设需要根据数据格式的不同，采用不同的数据接入处理方式。需要针对安全相关的处理数据进行实时存储，采用数据分类分级的层次结构进行数据组织。利用分布式计算来并行处理海量数据，解决算法模型高性能计算问题，满足TB级数据处理能力。</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需要针对管理人员、决策人员提供数据查询、展示与统计分析功能，借助展示工具以图表、统计报表方式展示已整合数据情况，为决策人员提供分析决策的依据。</w:t>
      </w:r>
    </w:p>
    <w:p>
      <w:pPr>
        <w:pStyle w:val="7"/>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2</w:t>
      </w:r>
      <w:r>
        <w:rPr>
          <w:rFonts w:ascii="新宋体" w:hAnsi="新宋体" w:eastAsia="新宋体"/>
          <w:color w:val="000000"/>
          <w:sz w:val="21"/>
          <w:szCs w:val="21"/>
        </w:rPr>
        <w:t xml:space="preserve">.2.2 </w:t>
      </w:r>
      <w:r>
        <w:rPr>
          <w:rFonts w:hint="eastAsia" w:ascii="新宋体" w:hAnsi="新宋体" w:eastAsia="新宋体"/>
          <w:bCs/>
          <w:color w:val="000000"/>
          <w:sz w:val="21"/>
          <w:szCs w:val="21"/>
        </w:rPr>
        <w:t>涉海安全预警模型优化要求</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本项目需要针对辖区重点功能水域安全监管需要，在传统数理统计及规则判定的基础上，建立功能水域安全预警模型并升级优化区域综合安全风险预警模型算法，提升预警模型在时空上的覆盖范围，满足区域安全风险的动态辨识与预报预警需要。需要针对桥区船舶通行安全需要，构建桥区通航船舶风险预警模型，为桥区通航船舶风险等级评估提供参考，满足桥区通行船舶风险预警专题应用图需要。</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本项目需要设计接口服务，对模型接口服务进行开发和封装，实现安全预警模型的在线调用。</w:t>
      </w:r>
    </w:p>
    <w:p>
      <w:pPr>
        <w:pStyle w:val="7"/>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2</w:t>
      </w:r>
      <w:r>
        <w:rPr>
          <w:rFonts w:ascii="新宋体" w:hAnsi="新宋体" w:eastAsia="新宋体"/>
          <w:color w:val="000000"/>
          <w:sz w:val="21"/>
          <w:szCs w:val="21"/>
        </w:rPr>
        <w:t xml:space="preserve">.2.3 </w:t>
      </w:r>
      <w:r>
        <w:rPr>
          <w:rFonts w:hint="eastAsia" w:ascii="新宋体" w:hAnsi="新宋体" w:eastAsia="新宋体"/>
          <w:bCs/>
          <w:color w:val="000000"/>
          <w:sz w:val="21"/>
          <w:szCs w:val="21"/>
        </w:rPr>
        <w:t>涉海安全要素全景图展示要求</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本项目需要利用GIS及可视化平台，将涉海安全风险预警信息以动态可视化的图表进行全要素信息展示，搭建安全风险预警图，提供涉海安全风险预警全景筛选、联动、钻取等功能。</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本项目需要结合深圳市水上交通安全监管双重预防机制构建的要求，建设涉海安全风险隐患管理页面，实现风险隐患清单管理及风险隐患一张图展示。</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本项目需要利用GIS及可视化平台，将桥梁、桥区、桥区警戒区、桥区风险及桥区通行船舶等信息以动态可视化的图、表进行展示，搭建桥区通行船舶风险预警专题图。</w:t>
      </w:r>
    </w:p>
    <w:p>
      <w:pPr>
        <w:pStyle w:val="7"/>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2</w:t>
      </w:r>
      <w:r>
        <w:rPr>
          <w:rFonts w:ascii="新宋体" w:hAnsi="新宋体" w:eastAsia="新宋体"/>
          <w:color w:val="000000"/>
          <w:sz w:val="21"/>
          <w:szCs w:val="21"/>
        </w:rPr>
        <w:t xml:space="preserve">.2.4 </w:t>
      </w:r>
      <w:r>
        <w:rPr>
          <w:rFonts w:hint="eastAsia" w:ascii="新宋体" w:hAnsi="新宋体" w:eastAsia="新宋体"/>
          <w:bCs/>
          <w:color w:val="000000"/>
          <w:sz w:val="21"/>
          <w:szCs w:val="21"/>
        </w:rPr>
        <w:t>深圳海事服务地方经济贡献度数据展示要求</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本项目需要利用GIS及可视化平台，将船舶、船员、环境、货物、管理等海事服务地方经济社会贡献度指标数据以动态可视化的图表进行全要素信息展示，包含保障水上交通安全、保护水域环境清洁、保护船员整体权益、维护海上主权和人民利益、保障战略物资运输安全、服务重要战略通道安全、服务物流供应链畅通和海运业高质量发展、服务国家战略实施等八大领域，搭建涉海安全要素系列全景图，提供涉海安全要素全景展示、筛选、联动、钻取等功能。</w:t>
      </w:r>
    </w:p>
    <w:p>
      <w:pPr>
        <w:pStyle w:val="5"/>
        <w:spacing w:line="360" w:lineRule="auto"/>
        <w:jc w:val="left"/>
        <w:rPr>
          <w:rFonts w:ascii="新宋体" w:hAnsi="新宋体" w:eastAsia="新宋体"/>
          <w:sz w:val="21"/>
          <w:szCs w:val="21"/>
          <w:lang w:bidi="en-US"/>
        </w:rPr>
      </w:pPr>
      <w:bookmarkStart w:id="28" w:name="_Toc104809688"/>
      <w:bookmarkStart w:id="29" w:name="_Toc105580079"/>
      <w:r>
        <w:rPr>
          <w:rFonts w:hint="eastAsia" w:ascii="新宋体" w:hAnsi="新宋体" w:eastAsia="新宋体"/>
          <w:sz w:val="21"/>
          <w:szCs w:val="21"/>
          <w:lang w:bidi="en-US"/>
        </w:rPr>
        <w:t>2</w:t>
      </w:r>
      <w:r>
        <w:rPr>
          <w:rFonts w:ascii="新宋体" w:hAnsi="新宋体" w:eastAsia="新宋体"/>
          <w:sz w:val="21"/>
          <w:szCs w:val="21"/>
          <w:lang w:bidi="en-US"/>
        </w:rPr>
        <w:t>.3业务技术指标</w:t>
      </w:r>
      <w:bookmarkEnd w:id="28"/>
      <w:r>
        <w:rPr>
          <w:rFonts w:hint="eastAsia" w:ascii="新宋体" w:hAnsi="新宋体" w:eastAsia="新宋体"/>
          <w:sz w:val="21"/>
          <w:szCs w:val="21"/>
          <w:lang w:bidi="en-US"/>
        </w:rPr>
        <w:t>要求</w:t>
      </w:r>
      <w:bookmarkEnd w:id="29"/>
    </w:p>
    <w:p>
      <w:pPr>
        <w:pStyle w:val="7"/>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2</w:t>
      </w:r>
      <w:r>
        <w:rPr>
          <w:rFonts w:ascii="新宋体" w:hAnsi="新宋体" w:eastAsia="新宋体"/>
          <w:color w:val="000000"/>
          <w:sz w:val="21"/>
          <w:szCs w:val="21"/>
        </w:rPr>
        <w:t xml:space="preserve">.3.1 </w:t>
      </w:r>
      <w:r>
        <w:rPr>
          <w:rFonts w:ascii="新宋体" w:hAnsi="新宋体" w:eastAsia="新宋体"/>
          <w:bCs/>
          <w:color w:val="000000"/>
          <w:sz w:val="21"/>
          <w:szCs w:val="21"/>
        </w:rPr>
        <w:t>安全风险隐患动态管理率</w:t>
      </w:r>
    </w:p>
    <w:p>
      <w:pPr>
        <w:pStyle w:val="13"/>
        <w:spacing w:line="360" w:lineRule="auto"/>
        <w:ind w:firstLine="420"/>
        <w:rPr>
          <w:rFonts w:ascii="新宋体" w:hAnsi="新宋体" w:eastAsia="新宋体"/>
          <w:szCs w:val="21"/>
          <w:lang w:bidi="en-US"/>
        </w:rPr>
      </w:pPr>
      <w:r>
        <w:rPr>
          <w:rFonts w:ascii="新宋体" w:hAnsi="新宋体" w:eastAsia="新宋体"/>
          <w:szCs w:val="21"/>
          <w:lang w:bidi="en-US"/>
        </w:rPr>
        <w:t>系统需实现辖区安全风险隐患全覆盖，风险清单、隐患清单、风险防控措施表100%线上动态管理、实时更新。</w:t>
      </w:r>
    </w:p>
    <w:p>
      <w:pPr>
        <w:pStyle w:val="7"/>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2</w:t>
      </w:r>
      <w:r>
        <w:rPr>
          <w:rFonts w:ascii="新宋体" w:hAnsi="新宋体" w:eastAsia="新宋体"/>
          <w:color w:val="000000"/>
          <w:sz w:val="21"/>
          <w:szCs w:val="21"/>
        </w:rPr>
        <w:t xml:space="preserve">.3.2 </w:t>
      </w:r>
      <w:r>
        <w:rPr>
          <w:rFonts w:ascii="新宋体" w:hAnsi="新宋体" w:eastAsia="新宋体"/>
          <w:bCs/>
          <w:color w:val="000000"/>
          <w:sz w:val="21"/>
          <w:szCs w:val="21"/>
        </w:rPr>
        <w:t>安全预警指标体系</w:t>
      </w:r>
    </w:p>
    <w:p>
      <w:pPr>
        <w:pStyle w:val="13"/>
        <w:spacing w:line="360" w:lineRule="auto"/>
        <w:ind w:firstLine="420"/>
        <w:rPr>
          <w:rFonts w:ascii="新宋体" w:hAnsi="新宋体" w:eastAsia="新宋体"/>
          <w:szCs w:val="21"/>
          <w:lang w:bidi="en-US"/>
        </w:rPr>
      </w:pPr>
      <w:r>
        <w:rPr>
          <w:rFonts w:ascii="新宋体" w:hAnsi="新宋体" w:eastAsia="新宋体"/>
          <w:szCs w:val="21"/>
          <w:lang w:bidi="en-US"/>
        </w:rPr>
        <w:t>系统建设需要基于“人、船、环境、管理”等安全要素构建一套辖区安全预警指标体系。</w:t>
      </w:r>
    </w:p>
    <w:p>
      <w:pPr>
        <w:pStyle w:val="7"/>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2</w:t>
      </w:r>
      <w:r>
        <w:rPr>
          <w:rFonts w:ascii="新宋体" w:hAnsi="新宋体" w:eastAsia="新宋体"/>
          <w:color w:val="000000"/>
          <w:sz w:val="21"/>
          <w:szCs w:val="21"/>
        </w:rPr>
        <w:t xml:space="preserve">.3.3 </w:t>
      </w:r>
      <w:r>
        <w:rPr>
          <w:rFonts w:ascii="新宋体" w:hAnsi="新宋体" w:eastAsia="新宋体"/>
          <w:bCs/>
          <w:color w:val="000000"/>
          <w:sz w:val="21"/>
          <w:szCs w:val="21"/>
        </w:rPr>
        <w:t>安全预警模型</w:t>
      </w:r>
    </w:p>
    <w:p>
      <w:pPr>
        <w:pStyle w:val="13"/>
        <w:spacing w:line="360" w:lineRule="auto"/>
        <w:ind w:firstLine="420"/>
        <w:rPr>
          <w:rFonts w:ascii="新宋体" w:hAnsi="新宋体" w:eastAsia="新宋体"/>
          <w:szCs w:val="21"/>
          <w:lang w:bidi="en-US"/>
        </w:rPr>
      </w:pPr>
      <w:r>
        <w:rPr>
          <w:rFonts w:ascii="新宋体" w:hAnsi="新宋体" w:eastAsia="新宋体"/>
          <w:szCs w:val="21"/>
          <w:lang w:bidi="en-US"/>
        </w:rPr>
        <w:t>系统建设需要结合辖区综合安全监管需要，在预警平台一期模型基础上通过升级优化，构建一套涉海安全系列预警与分析模型，实现辖区重点功能水域安全预警全覆盖。</w:t>
      </w:r>
    </w:p>
    <w:p>
      <w:pPr>
        <w:pStyle w:val="7"/>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2</w:t>
      </w:r>
      <w:r>
        <w:rPr>
          <w:rFonts w:ascii="新宋体" w:hAnsi="新宋体" w:eastAsia="新宋体"/>
          <w:color w:val="000000"/>
          <w:sz w:val="21"/>
          <w:szCs w:val="21"/>
        </w:rPr>
        <w:t xml:space="preserve">.3.4 </w:t>
      </w:r>
      <w:r>
        <w:rPr>
          <w:rFonts w:ascii="新宋体" w:hAnsi="新宋体" w:eastAsia="新宋体"/>
          <w:bCs/>
          <w:color w:val="000000"/>
          <w:sz w:val="21"/>
          <w:szCs w:val="21"/>
        </w:rPr>
        <w:t>安全要素全景图</w:t>
      </w:r>
    </w:p>
    <w:p>
      <w:pPr>
        <w:pStyle w:val="13"/>
        <w:spacing w:line="360" w:lineRule="auto"/>
        <w:ind w:firstLine="420"/>
        <w:rPr>
          <w:rFonts w:ascii="新宋体" w:hAnsi="新宋体" w:eastAsia="新宋体"/>
          <w:szCs w:val="21"/>
          <w:lang w:bidi="en-US"/>
        </w:rPr>
      </w:pPr>
      <w:r>
        <w:rPr>
          <w:rFonts w:ascii="新宋体" w:hAnsi="新宋体" w:eastAsia="新宋体"/>
          <w:szCs w:val="21"/>
          <w:lang w:bidi="en-US"/>
        </w:rPr>
        <w:t>系统建设需要形成海事服务地方经济社会贡献度指标数据展示图、涉海安全风险预警一张图、涉海安全风险隐患清单一张图、桥区通行船舶风险预警专题图，多维度呈现辖区安全生产形势。</w:t>
      </w:r>
    </w:p>
    <w:p>
      <w:pPr>
        <w:pStyle w:val="5"/>
        <w:spacing w:line="360" w:lineRule="auto"/>
        <w:jc w:val="left"/>
        <w:rPr>
          <w:rFonts w:ascii="新宋体" w:hAnsi="新宋体" w:eastAsia="新宋体"/>
          <w:sz w:val="21"/>
          <w:szCs w:val="21"/>
          <w:lang w:bidi="en-US"/>
        </w:rPr>
      </w:pPr>
      <w:r>
        <w:rPr>
          <w:rFonts w:hint="eastAsia" w:ascii="新宋体" w:hAnsi="新宋体" w:eastAsia="新宋体"/>
          <w:sz w:val="21"/>
          <w:szCs w:val="21"/>
          <w:lang w:bidi="en-US"/>
        </w:rPr>
        <w:t>2</w:t>
      </w:r>
      <w:r>
        <w:rPr>
          <w:rFonts w:ascii="新宋体" w:hAnsi="新宋体" w:eastAsia="新宋体"/>
          <w:sz w:val="21"/>
          <w:szCs w:val="21"/>
          <w:lang w:bidi="en-US"/>
        </w:rPr>
        <w:t>.4机制及工作规范研究</w:t>
      </w:r>
      <w:r>
        <w:rPr>
          <w:rFonts w:hint="eastAsia" w:ascii="新宋体" w:hAnsi="新宋体" w:eastAsia="新宋体"/>
          <w:sz w:val="21"/>
          <w:szCs w:val="21"/>
          <w:lang w:bidi="en-US"/>
        </w:rPr>
        <w:t>要求</w:t>
      </w:r>
    </w:p>
    <w:p>
      <w:pPr>
        <w:pStyle w:val="13"/>
        <w:spacing w:line="360" w:lineRule="auto"/>
        <w:ind w:firstLine="422"/>
        <w:rPr>
          <w:rFonts w:ascii="新宋体" w:hAnsi="新宋体" w:eastAsia="新宋体"/>
          <w:b/>
          <w:bCs/>
          <w:szCs w:val="21"/>
          <w:lang w:bidi="en-US"/>
        </w:rPr>
      </w:pPr>
      <w:r>
        <w:rPr>
          <w:rFonts w:hint="eastAsia" w:ascii="新宋体" w:hAnsi="新宋体" w:eastAsia="新宋体"/>
          <w:b/>
          <w:bCs/>
          <w:szCs w:val="21"/>
          <w:lang w:bidi="en-US"/>
        </w:rPr>
        <w:t>一、深圳市水上新业态活动安全监管工作规范研究</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针对深圳市水上新业态活动安全监管中存在的痛点难点问题，依据交通安全领域相关法律法规和标准要求，厘清相关部门的监管职责，对海上休闲娱乐活动的监督检查、人员培训、宣传教育、违法违规查处、事故调查等工作以及活动区域的划分等开展研究，起草《深圳市水上新业态活动安全监管工作规范》（草案）。</w:t>
      </w:r>
    </w:p>
    <w:p>
      <w:pPr>
        <w:pStyle w:val="13"/>
        <w:spacing w:line="360" w:lineRule="auto"/>
        <w:ind w:firstLine="422"/>
        <w:rPr>
          <w:rFonts w:ascii="新宋体" w:hAnsi="新宋体" w:eastAsia="新宋体"/>
          <w:b/>
          <w:bCs/>
          <w:szCs w:val="21"/>
          <w:lang w:bidi="en-US"/>
        </w:rPr>
      </w:pPr>
      <w:r>
        <w:rPr>
          <w:rFonts w:hint="eastAsia" w:ascii="新宋体" w:hAnsi="新宋体" w:eastAsia="新宋体"/>
          <w:b/>
          <w:bCs/>
          <w:szCs w:val="21"/>
          <w:lang w:bidi="en-US"/>
        </w:rPr>
        <w:t>二、深圳市桥区通行船舶风险分级管控机制研究</w:t>
      </w:r>
    </w:p>
    <w:p>
      <w:pPr>
        <w:pStyle w:val="13"/>
        <w:spacing w:line="360" w:lineRule="auto"/>
        <w:ind w:firstLine="420"/>
        <w:rPr>
          <w:rFonts w:ascii="新宋体" w:hAnsi="新宋体" w:eastAsia="新宋体"/>
          <w:szCs w:val="21"/>
          <w:lang w:bidi="en-US"/>
        </w:rPr>
      </w:pPr>
      <w:r>
        <w:rPr>
          <w:rFonts w:hint="eastAsia" w:ascii="新宋体" w:hAnsi="新宋体" w:eastAsia="新宋体"/>
          <w:szCs w:val="21"/>
          <w:lang w:bidi="en-US"/>
        </w:rPr>
        <w:t>针对深圳涉海涉江桥区通行船舶安全管理需要，依据交通安全领域相关法律法规和标准要求，厘清相关部门的安全监管职责，对桥区通行船舶安全监管现状、桥区通行船舶安全风险辨识与评估、桥区通行船舶安全风险管控措施及桥区通行船舶安全风险预警等开展研究，提交《深圳市桥区通行船舶风险分级管控机制研究报告》</w:t>
      </w:r>
      <w:r>
        <w:rPr>
          <w:rFonts w:ascii="新宋体" w:hAnsi="新宋体" w:eastAsia="新宋体"/>
          <w:szCs w:val="21"/>
          <w:lang w:bidi="en-US"/>
        </w:rPr>
        <w:t>。</w:t>
      </w:r>
    </w:p>
    <w:p>
      <w:pPr>
        <w:pStyle w:val="4"/>
        <w:spacing w:line="360" w:lineRule="auto"/>
        <w:rPr>
          <w:rFonts w:ascii="新宋体" w:hAnsi="新宋体" w:eastAsia="新宋体"/>
          <w:color w:val="000000"/>
          <w:sz w:val="24"/>
          <w:szCs w:val="24"/>
        </w:rPr>
      </w:pPr>
      <w:bookmarkStart w:id="30" w:name="_Toc428190116"/>
      <w:bookmarkEnd w:id="30"/>
      <w:bookmarkStart w:id="31" w:name="_Toc105580080"/>
      <w:r>
        <w:rPr>
          <w:rFonts w:hint="eastAsia"/>
          <w:color w:val="000000"/>
          <w:sz w:val="24"/>
          <w:szCs w:val="24"/>
        </w:rPr>
        <w:t>3、</w:t>
      </w:r>
      <w:r>
        <w:rPr>
          <w:rFonts w:ascii="新宋体" w:hAnsi="新宋体" w:eastAsia="新宋体"/>
          <w:color w:val="000000"/>
          <w:sz w:val="24"/>
          <w:szCs w:val="24"/>
        </w:rPr>
        <w:t>系统集成衔接要求</w:t>
      </w:r>
      <w:bookmarkEnd w:id="31"/>
    </w:p>
    <w:p>
      <w:pPr>
        <w:pStyle w:val="13"/>
        <w:spacing w:line="360" w:lineRule="auto"/>
        <w:ind w:firstLine="420"/>
        <w:rPr>
          <w:rFonts w:ascii="新宋体" w:hAnsi="新宋体" w:eastAsia="新宋体"/>
          <w:kern w:val="2"/>
          <w:szCs w:val="21"/>
        </w:rPr>
      </w:pPr>
      <w:r>
        <w:rPr>
          <w:rFonts w:hint="eastAsia" w:ascii="新宋体" w:hAnsi="新宋体" w:eastAsia="新宋体"/>
          <w:kern w:val="2"/>
          <w:szCs w:val="21"/>
        </w:rPr>
        <w:t>本项目数据集成共享工作主要依靠深圳海事局二级数据中心、海事一级数据中心提供的数据接口，直接调用数据接口访问数据内容。同时，本项目建设过程中会预留预警信息服务接口，以方便其他系统从本项目建设系统获取预警信息服务。</w:t>
      </w:r>
    </w:p>
    <w:p>
      <w:pPr>
        <w:pStyle w:val="4"/>
        <w:spacing w:line="360" w:lineRule="auto"/>
        <w:rPr>
          <w:rFonts w:ascii="新宋体" w:hAnsi="新宋体" w:eastAsia="新宋体"/>
          <w:color w:val="000000"/>
          <w:sz w:val="24"/>
          <w:szCs w:val="24"/>
        </w:rPr>
      </w:pPr>
      <w:bookmarkStart w:id="32" w:name="_Toc105580081"/>
      <w:r>
        <w:rPr>
          <w:color w:val="000000"/>
          <w:sz w:val="24"/>
          <w:szCs w:val="24"/>
        </w:rPr>
        <w:t>4</w:t>
      </w:r>
      <w:r>
        <w:rPr>
          <w:rFonts w:hint="eastAsia"/>
          <w:color w:val="000000"/>
          <w:sz w:val="24"/>
          <w:szCs w:val="24"/>
        </w:rPr>
        <w:t>、</w:t>
      </w:r>
      <w:r>
        <w:rPr>
          <w:rFonts w:ascii="新宋体" w:hAnsi="新宋体" w:eastAsia="新宋体"/>
          <w:color w:val="000000"/>
          <w:sz w:val="24"/>
          <w:szCs w:val="24"/>
        </w:rPr>
        <w:t>项目组织与实施管理要求</w:t>
      </w:r>
      <w:bookmarkEnd w:id="32"/>
    </w:p>
    <w:p>
      <w:pPr>
        <w:pStyle w:val="5"/>
        <w:spacing w:line="360" w:lineRule="auto"/>
        <w:jc w:val="left"/>
        <w:rPr>
          <w:rFonts w:ascii="新宋体" w:hAnsi="新宋体" w:eastAsia="新宋体"/>
          <w:sz w:val="21"/>
          <w:szCs w:val="21"/>
        </w:rPr>
      </w:pPr>
      <w:bookmarkStart w:id="33" w:name="_Toc426480315"/>
      <w:bookmarkStart w:id="34" w:name="_Toc105580082"/>
      <w:bookmarkStart w:id="35" w:name="_Toc436235777"/>
      <w:r>
        <w:rPr>
          <w:rFonts w:hint="eastAsia" w:ascii="新宋体" w:hAnsi="新宋体" w:eastAsia="新宋体"/>
          <w:sz w:val="21"/>
          <w:szCs w:val="21"/>
        </w:rPr>
        <w:t>4</w:t>
      </w:r>
      <w:r>
        <w:rPr>
          <w:rFonts w:ascii="新宋体" w:hAnsi="新宋体" w:eastAsia="新宋体"/>
          <w:sz w:val="21"/>
          <w:szCs w:val="21"/>
        </w:rPr>
        <w:t>.1 项目组织管理</w:t>
      </w:r>
      <w:bookmarkEnd w:id="33"/>
      <w:bookmarkEnd w:id="34"/>
      <w:bookmarkEnd w:id="35"/>
    </w:p>
    <w:p>
      <w:pPr>
        <w:pStyle w:val="14"/>
        <w:numPr>
          <w:ilvl w:val="0"/>
          <w:numId w:val="1"/>
        </w:numPr>
        <w:tabs>
          <w:tab w:val="left" w:pos="1134"/>
        </w:tabs>
        <w:spacing w:line="360" w:lineRule="auto"/>
        <w:ind w:left="0" w:firstLine="420"/>
        <w:rPr>
          <w:rFonts w:ascii="新宋体" w:hAnsi="新宋体" w:eastAsia="新宋体"/>
          <w:szCs w:val="21"/>
        </w:rPr>
      </w:pPr>
      <w:r>
        <w:rPr>
          <w:rFonts w:ascii="新宋体" w:hAnsi="新宋体" w:eastAsia="新宋体"/>
          <w:szCs w:val="21"/>
        </w:rPr>
        <w:t>投标方在工程实施过程中，需对项目进行规范化管理，要有项目管理组织、项目进度计划、项目验收计划等方案，确保工程实施质量。</w:t>
      </w:r>
    </w:p>
    <w:p>
      <w:pPr>
        <w:pStyle w:val="14"/>
        <w:numPr>
          <w:ilvl w:val="0"/>
          <w:numId w:val="1"/>
        </w:numPr>
        <w:tabs>
          <w:tab w:val="left" w:pos="1134"/>
        </w:tabs>
        <w:spacing w:line="360" w:lineRule="auto"/>
        <w:ind w:left="0" w:firstLine="420"/>
        <w:rPr>
          <w:rFonts w:ascii="新宋体" w:hAnsi="新宋体" w:eastAsia="新宋体"/>
          <w:szCs w:val="21"/>
        </w:rPr>
      </w:pPr>
      <w:r>
        <w:rPr>
          <w:rFonts w:ascii="新宋体" w:hAnsi="新宋体" w:eastAsia="新宋体"/>
          <w:szCs w:val="21"/>
        </w:rPr>
        <w:t>投标方对提供的所有软件开发、系统集成和服务</w:t>
      </w:r>
      <w:r>
        <w:rPr>
          <w:rFonts w:hint="eastAsia" w:ascii="新宋体" w:hAnsi="新宋体" w:eastAsia="新宋体"/>
          <w:szCs w:val="21"/>
        </w:rPr>
        <w:t>等</w:t>
      </w:r>
      <w:r>
        <w:rPr>
          <w:rFonts w:ascii="新宋体" w:hAnsi="新宋体" w:eastAsia="新宋体"/>
          <w:szCs w:val="21"/>
        </w:rPr>
        <w:t>保证系统完整性的相应工作和工程质量负责。在履行合同的全过程中严格执行合同中有关技术、商务条款。</w:t>
      </w:r>
    </w:p>
    <w:p>
      <w:pPr>
        <w:pStyle w:val="14"/>
        <w:numPr>
          <w:ilvl w:val="0"/>
          <w:numId w:val="1"/>
        </w:numPr>
        <w:tabs>
          <w:tab w:val="left" w:pos="1134"/>
        </w:tabs>
        <w:spacing w:line="360" w:lineRule="auto"/>
        <w:ind w:left="0" w:firstLine="420"/>
        <w:rPr>
          <w:rFonts w:ascii="新宋体" w:hAnsi="新宋体" w:eastAsia="新宋体"/>
          <w:szCs w:val="21"/>
        </w:rPr>
      </w:pPr>
      <w:r>
        <w:rPr>
          <w:rFonts w:ascii="新宋体" w:hAnsi="新宋体" w:eastAsia="新宋体"/>
          <w:szCs w:val="21"/>
        </w:rPr>
        <w:t>投标方应成立相应的项目小组，向招标方提出项目小组组织结构，并指定专职的项目经理，听从招标方的工程协调和工程调度工作，中途不得随意变更。</w:t>
      </w:r>
    </w:p>
    <w:p>
      <w:pPr>
        <w:pStyle w:val="14"/>
        <w:numPr>
          <w:ilvl w:val="0"/>
          <w:numId w:val="1"/>
        </w:numPr>
        <w:tabs>
          <w:tab w:val="left" w:pos="1134"/>
        </w:tabs>
        <w:spacing w:line="360" w:lineRule="auto"/>
        <w:ind w:left="0" w:firstLine="420"/>
        <w:rPr>
          <w:rFonts w:ascii="新宋体" w:hAnsi="新宋体" w:eastAsia="新宋体"/>
          <w:szCs w:val="21"/>
        </w:rPr>
      </w:pPr>
      <w:r>
        <w:rPr>
          <w:rFonts w:ascii="新宋体" w:hAnsi="新宋体" w:eastAsia="新宋体"/>
          <w:szCs w:val="21"/>
        </w:rPr>
        <w:t>投标方成立包括专职项目经理在内的至少5人组成的技术支持小组，负责对参与项目实施的各方技术人员进行产品、技术培训，提供项目整体实施的技术方案，对工程实施过程中出现的疑难问题提供技术支持。</w:t>
      </w:r>
    </w:p>
    <w:p>
      <w:pPr>
        <w:pStyle w:val="14"/>
        <w:numPr>
          <w:ilvl w:val="0"/>
          <w:numId w:val="1"/>
        </w:numPr>
        <w:tabs>
          <w:tab w:val="left" w:pos="1134"/>
        </w:tabs>
        <w:spacing w:line="360" w:lineRule="auto"/>
        <w:ind w:left="0" w:firstLine="420"/>
        <w:rPr>
          <w:rFonts w:ascii="新宋体" w:hAnsi="新宋体" w:eastAsia="新宋体"/>
          <w:szCs w:val="21"/>
        </w:rPr>
      </w:pPr>
      <w:r>
        <w:rPr>
          <w:rFonts w:ascii="新宋体" w:hAnsi="新宋体" w:eastAsia="新宋体"/>
          <w:szCs w:val="21"/>
        </w:rPr>
        <w:t>工程实施中，由受严格培训的资深工程师组成工程小组负责计划、</w:t>
      </w:r>
      <w:r>
        <w:rPr>
          <w:rFonts w:hint="eastAsia" w:ascii="新宋体" w:hAnsi="新宋体" w:eastAsia="新宋体"/>
          <w:szCs w:val="21"/>
        </w:rPr>
        <w:t>部署</w:t>
      </w:r>
      <w:r>
        <w:rPr>
          <w:rFonts w:ascii="新宋体" w:hAnsi="新宋体" w:eastAsia="新宋体"/>
          <w:szCs w:val="21"/>
        </w:rPr>
        <w:t>调试、集成等工程实施工作。</w:t>
      </w:r>
    </w:p>
    <w:p>
      <w:pPr>
        <w:pStyle w:val="14"/>
        <w:numPr>
          <w:ilvl w:val="0"/>
          <w:numId w:val="1"/>
        </w:numPr>
        <w:tabs>
          <w:tab w:val="left" w:pos="1134"/>
        </w:tabs>
        <w:spacing w:line="360" w:lineRule="auto"/>
        <w:ind w:left="0" w:firstLine="420"/>
        <w:rPr>
          <w:rFonts w:ascii="新宋体" w:hAnsi="新宋体" w:eastAsia="新宋体"/>
          <w:szCs w:val="21"/>
        </w:rPr>
      </w:pPr>
      <w:r>
        <w:rPr>
          <w:rFonts w:ascii="新宋体" w:hAnsi="新宋体" w:eastAsia="新宋体"/>
          <w:szCs w:val="21"/>
        </w:rPr>
        <w:t>投标方应详细说明工程实施队伍的组成人员的情况，包括人员职责与分工、能力与技术背景、人员数量等。</w:t>
      </w:r>
    </w:p>
    <w:p>
      <w:pPr>
        <w:pStyle w:val="5"/>
        <w:spacing w:line="360" w:lineRule="auto"/>
        <w:jc w:val="left"/>
        <w:rPr>
          <w:rFonts w:ascii="新宋体" w:hAnsi="新宋体" w:eastAsia="新宋体"/>
          <w:sz w:val="21"/>
          <w:szCs w:val="21"/>
        </w:rPr>
      </w:pPr>
      <w:bookmarkStart w:id="36" w:name="_Toc520799034"/>
      <w:bookmarkStart w:id="37" w:name="_Toc105580083"/>
      <w:r>
        <w:rPr>
          <w:rFonts w:hint="eastAsia" w:ascii="新宋体" w:hAnsi="新宋体" w:eastAsia="新宋体"/>
          <w:sz w:val="21"/>
          <w:szCs w:val="21"/>
        </w:rPr>
        <w:t>4</w:t>
      </w:r>
      <w:r>
        <w:rPr>
          <w:rFonts w:ascii="新宋体" w:hAnsi="新宋体" w:eastAsia="新宋体"/>
          <w:sz w:val="21"/>
          <w:szCs w:val="21"/>
        </w:rPr>
        <w:t>.2 文件资料</w:t>
      </w:r>
      <w:bookmarkEnd w:id="36"/>
      <w:r>
        <w:rPr>
          <w:rFonts w:hint="eastAsia" w:ascii="新宋体" w:hAnsi="新宋体" w:eastAsia="新宋体"/>
          <w:sz w:val="21"/>
          <w:szCs w:val="21"/>
        </w:rPr>
        <w:t>规范要求</w:t>
      </w:r>
      <w:bookmarkEnd w:id="37"/>
    </w:p>
    <w:p>
      <w:pPr>
        <w:spacing w:line="360" w:lineRule="auto"/>
        <w:ind w:firstLine="560"/>
        <w:rPr>
          <w:rFonts w:ascii="新宋体" w:hAnsi="新宋体" w:eastAsia="新宋体"/>
          <w:szCs w:val="21"/>
        </w:rPr>
      </w:pPr>
      <w:r>
        <w:rPr>
          <w:rFonts w:ascii="新宋体" w:hAnsi="新宋体" w:eastAsia="新宋体"/>
          <w:szCs w:val="21"/>
        </w:rPr>
        <w:t>1、投标方应向招标方提供所有软硬件产品和服务的详细文件资料。所有的文件资料必须采用中文书写。</w:t>
      </w:r>
    </w:p>
    <w:p>
      <w:pPr>
        <w:spacing w:line="360" w:lineRule="auto"/>
        <w:ind w:firstLine="560"/>
        <w:rPr>
          <w:rFonts w:ascii="新宋体" w:hAnsi="新宋体" w:eastAsia="新宋体"/>
          <w:szCs w:val="21"/>
        </w:rPr>
      </w:pPr>
      <w:r>
        <w:rPr>
          <w:rFonts w:ascii="新宋体" w:hAnsi="新宋体" w:eastAsia="新宋体"/>
          <w:szCs w:val="21"/>
        </w:rPr>
        <w:t>2、投标方应提供的文件资料必须符合如下特性：</w:t>
      </w:r>
    </w:p>
    <w:p>
      <w:pPr>
        <w:pStyle w:val="14"/>
        <w:numPr>
          <w:ilvl w:val="0"/>
          <w:numId w:val="2"/>
        </w:numPr>
        <w:spacing w:line="360" w:lineRule="auto"/>
        <w:ind w:firstLineChars="0"/>
        <w:rPr>
          <w:rFonts w:ascii="新宋体" w:hAnsi="新宋体" w:eastAsia="新宋体"/>
          <w:szCs w:val="21"/>
        </w:rPr>
      </w:pPr>
      <w:r>
        <w:rPr>
          <w:rFonts w:ascii="新宋体" w:hAnsi="新宋体" w:eastAsia="新宋体"/>
          <w:szCs w:val="21"/>
        </w:rPr>
        <w:t>规范性：用户文档描述规范，有版本控制和修改记录。</w:t>
      </w:r>
    </w:p>
    <w:p>
      <w:pPr>
        <w:pStyle w:val="14"/>
        <w:numPr>
          <w:ilvl w:val="0"/>
          <w:numId w:val="2"/>
        </w:numPr>
        <w:spacing w:line="360" w:lineRule="auto"/>
        <w:ind w:firstLineChars="0"/>
        <w:rPr>
          <w:rFonts w:ascii="新宋体" w:hAnsi="新宋体" w:eastAsia="新宋体"/>
          <w:szCs w:val="21"/>
        </w:rPr>
      </w:pPr>
      <w:r>
        <w:rPr>
          <w:rFonts w:ascii="新宋体" w:hAnsi="新宋体" w:eastAsia="新宋体"/>
          <w:szCs w:val="21"/>
        </w:rPr>
        <w:t>完整性：用户手册内容基本完整，对具体操作的说明比较详细；</w:t>
      </w:r>
    </w:p>
    <w:p>
      <w:pPr>
        <w:pStyle w:val="14"/>
        <w:numPr>
          <w:ilvl w:val="0"/>
          <w:numId w:val="2"/>
        </w:numPr>
        <w:spacing w:line="360" w:lineRule="auto"/>
        <w:ind w:firstLineChars="0"/>
        <w:rPr>
          <w:rFonts w:ascii="新宋体" w:hAnsi="新宋体" w:eastAsia="新宋体"/>
          <w:szCs w:val="21"/>
        </w:rPr>
      </w:pPr>
      <w:r>
        <w:rPr>
          <w:rFonts w:ascii="新宋体" w:hAnsi="新宋体" w:eastAsia="新宋体"/>
          <w:szCs w:val="21"/>
        </w:rPr>
        <w:t>一致性：用户手册的描述与软件的实际功能基本一致，对重要功能的说明比较全面，用户手册中具有产品版本号描述；</w:t>
      </w:r>
    </w:p>
    <w:p>
      <w:pPr>
        <w:pStyle w:val="14"/>
        <w:numPr>
          <w:ilvl w:val="0"/>
          <w:numId w:val="2"/>
        </w:numPr>
        <w:spacing w:line="360" w:lineRule="auto"/>
        <w:ind w:firstLineChars="0"/>
        <w:rPr>
          <w:rFonts w:ascii="新宋体" w:hAnsi="新宋体" w:eastAsia="新宋体"/>
          <w:szCs w:val="21"/>
        </w:rPr>
      </w:pPr>
      <w:r>
        <w:rPr>
          <w:rFonts w:ascii="新宋体" w:hAnsi="新宋体" w:eastAsia="新宋体"/>
          <w:szCs w:val="21"/>
        </w:rPr>
        <w:t>易理解程度：用户手册对操作有图例和文字说明，较易理解；</w:t>
      </w:r>
    </w:p>
    <w:p>
      <w:pPr>
        <w:pStyle w:val="14"/>
        <w:numPr>
          <w:ilvl w:val="0"/>
          <w:numId w:val="2"/>
        </w:numPr>
        <w:spacing w:line="360" w:lineRule="auto"/>
        <w:ind w:firstLineChars="0"/>
        <w:rPr>
          <w:rFonts w:ascii="新宋体" w:hAnsi="新宋体" w:eastAsia="新宋体"/>
          <w:szCs w:val="21"/>
        </w:rPr>
      </w:pPr>
      <w:r>
        <w:rPr>
          <w:rFonts w:ascii="新宋体" w:hAnsi="新宋体" w:eastAsia="新宋体"/>
          <w:szCs w:val="21"/>
        </w:rPr>
        <w:t>操作实例：用户手册提供详细的应用实例。</w:t>
      </w:r>
    </w:p>
    <w:p>
      <w:pPr>
        <w:pStyle w:val="5"/>
        <w:spacing w:line="360" w:lineRule="auto"/>
        <w:jc w:val="left"/>
        <w:rPr>
          <w:rFonts w:ascii="新宋体" w:hAnsi="新宋体" w:eastAsia="新宋体"/>
          <w:sz w:val="21"/>
          <w:szCs w:val="21"/>
        </w:rPr>
      </w:pPr>
      <w:bookmarkStart w:id="38" w:name="_Toc426480320"/>
      <w:bookmarkStart w:id="39" w:name="_Toc105580084"/>
      <w:bookmarkStart w:id="40" w:name="_Toc436235782"/>
      <w:r>
        <w:rPr>
          <w:rFonts w:hint="eastAsia" w:ascii="新宋体" w:hAnsi="新宋体" w:eastAsia="新宋体"/>
          <w:sz w:val="21"/>
          <w:szCs w:val="21"/>
        </w:rPr>
        <w:t>4</w:t>
      </w:r>
      <w:r>
        <w:rPr>
          <w:rFonts w:ascii="新宋体" w:hAnsi="新宋体" w:eastAsia="新宋体"/>
          <w:sz w:val="21"/>
          <w:szCs w:val="21"/>
        </w:rPr>
        <w:t>.3系统试运行</w:t>
      </w:r>
      <w:bookmarkEnd w:id="38"/>
      <w:bookmarkEnd w:id="39"/>
      <w:bookmarkEnd w:id="40"/>
    </w:p>
    <w:p>
      <w:pPr>
        <w:pStyle w:val="13"/>
        <w:numPr>
          <w:ilvl w:val="0"/>
          <w:numId w:val="3"/>
        </w:numPr>
        <w:tabs>
          <w:tab w:val="left" w:pos="851"/>
        </w:tabs>
        <w:spacing w:line="360" w:lineRule="auto"/>
        <w:ind w:left="0" w:firstLine="420"/>
        <w:textAlignment w:val="auto"/>
        <w:rPr>
          <w:rFonts w:ascii="新宋体" w:hAnsi="新宋体" w:eastAsia="新宋体"/>
          <w:kern w:val="2"/>
          <w:szCs w:val="21"/>
        </w:rPr>
      </w:pPr>
      <w:r>
        <w:rPr>
          <w:rFonts w:ascii="新宋体" w:hAnsi="新宋体" w:eastAsia="新宋体"/>
          <w:kern w:val="2"/>
          <w:szCs w:val="21"/>
        </w:rPr>
        <w:t>系统投入试运行前，需通过最终用户组织的联调和测试，对整个系统进行总体功能和性能测试，系统测试结果必须满足本招标书所规定的技术和功能要求。测试计划、测试内容和测试方法由投标方提出，并经最终用户确认。</w:t>
      </w:r>
    </w:p>
    <w:p>
      <w:pPr>
        <w:pStyle w:val="13"/>
        <w:numPr>
          <w:ilvl w:val="0"/>
          <w:numId w:val="3"/>
        </w:numPr>
        <w:tabs>
          <w:tab w:val="left" w:pos="0"/>
          <w:tab w:val="left" w:pos="851"/>
        </w:tabs>
        <w:spacing w:line="360" w:lineRule="auto"/>
        <w:ind w:left="0" w:firstLine="420"/>
        <w:textAlignment w:val="auto"/>
        <w:rPr>
          <w:rFonts w:ascii="新宋体" w:hAnsi="新宋体" w:eastAsia="新宋体"/>
          <w:kern w:val="2"/>
          <w:szCs w:val="21"/>
        </w:rPr>
      </w:pPr>
      <w:r>
        <w:rPr>
          <w:rFonts w:ascii="新宋体" w:hAnsi="新宋体" w:eastAsia="新宋体"/>
          <w:kern w:val="2"/>
          <w:szCs w:val="21"/>
        </w:rPr>
        <w:t>连续负荷运行测试</w:t>
      </w:r>
    </w:p>
    <w:p>
      <w:pPr>
        <w:pStyle w:val="14"/>
        <w:numPr>
          <w:ilvl w:val="0"/>
          <w:numId w:val="4"/>
        </w:numPr>
        <w:tabs>
          <w:tab w:val="left" w:pos="993"/>
          <w:tab w:val="left" w:pos="1400"/>
        </w:tabs>
        <w:spacing w:line="360" w:lineRule="auto"/>
        <w:ind w:left="1" w:firstLine="424" w:firstLineChars="202"/>
        <w:rPr>
          <w:rFonts w:ascii="新宋体" w:hAnsi="新宋体" w:eastAsia="新宋体"/>
          <w:szCs w:val="21"/>
        </w:rPr>
      </w:pPr>
      <w:r>
        <w:rPr>
          <w:rFonts w:ascii="新宋体" w:hAnsi="新宋体" w:eastAsia="新宋体"/>
          <w:szCs w:val="21"/>
        </w:rPr>
        <w:t>在完成单机测试和系统联调测试后，</w:t>
      </w:r>
      <w:r>
        <w:rPr>
          <w:rFonts w:hint="eastAsia" w:ascii="新宋体" w:hAnsi="新宋体" w:eastAsia="新宋体"/>
          <w:szCs w:val="21"/>
        </w:rPr>
        <w:t>需对</w:t>
      </w:r>
      <w:r>
        <w:rPr>
          <w:rFonts w:ascii="新宋体" w:hAnsi="新宋体" w:eastAsia="新宋体"/>
          <w:szCs w:val="21"/>
        </w:rPr>
        <w:t>整个系统</w:t>
      </w:r>
      <w:r>
        <w:rPr>
          <w:rFonts w:hint="eastAsia" w:ascii="新宋体" w:hAnsi="新宋体" w:eastAsia="新宋体"/>
          <w:szCs w:val="21"/>
        </w:rPr>
        <w:t>进行</w:t>
      </w:r>
      <w:r>
        <w:rPr>
          <w:rFonts w:ascii="新宋体" w:hAnsi="新宋体" w:eastAsia="新宋体"/>
          <w:szCs w:val="21"/>
        </w:rPr>
        <w:t>240小时连续不间断总体负荷运行测试；</w:t>
      </w:r>
    </w:p>
    <w:p>
      <w:pPr>
        <w:pStyle w:val="14"/>
        <w:numPr>
          <w:ilvl w:val="0"/>
          <w:numId w:val="4"/>
        </w:numPr>
        <w:tabs>
          <w:tab w:val="left" w:pos="993"/>
          <w:tab w:val="left" w:pos="1400"/>
        </w:tabs>
        <w:spacing w:line="360" w:lineRule="auto"/>
        <w:ind w:left="1" w:firstLine="424" w:firstLineChars="202"/>
        <w:rPr>
          <w:rFonts w:ascii="新宋体" w:hAnsi="新宋体" w:eastAsia="新宋体"/>
          <w:szCs w:val="21"/>
        </w:rPr>
      </w:pPr>
      <w:r>
        <w:rPr>
          <w:rFonts w:ascii="新宋体" w:hAnsi="新宋体" w:eastAsia="新宋体"/>
          <w:szCs w:val="21"/>
        </w:rPr>
        <w:t>在连续负荷运行测试通过后，系统进入试运行阶段。</w:t>
      </w:r>
    </w:p>
    <w:p>
      <w:pPr>
        <w:pStyle w:val="13"/>
        <w:numPr>
          <w:ilvl w:val="0"/>
          <w:numId w:val="3"/>
        </w:numPr>
        <w:tabs>
          <w:tab w:val="left" w:pos="0"/>
          <w:tab w:val="left" w:pos="851"/>
        </w:tabs>
        <w:spacing w:line="360" w:lineRule="auto"/>
        <w:ind w:left="0" w:firstLine="420"/>
        <w:textAlignment w:val="auto"/>
        <w:rPr>
          <w:rFonts w:ascii="新宋体" w:hAnsi="新宋体" w:eastAsia="新宋体"/>
          <w:kern w:val="2"/>
          <w:szCs w:val="21"/>
        </w:rPr>
      </w:pPr>
      <w:r>
        <w:rPr>
          <w:rFonts w:ascii="新宋体" w:hAnsi="新宋体" w:eastAsia="新宋体"/>
          <w:kern w:val="2"/>
          <w:szCs w:val="21"/>
        </w:rPr>
        <w:t>系统测试和连续负荷运行测试不合格，由投标方免费维护后立即进行下一次测试。</w:t>
      </w:r>
    </w:p>
    <w:p>
      <w:pPr>
        <w:pStyle w:val="13"/>
        <w:numPr>
          <w:ilvl w:val="0"/>
          <w:numId w:val="3"/>
        </w:numPr>
        <w:tabs>
          <w:tab w:val="left" w:pos="0"/>
          <w:tab w:val="left" w:pos="851"/>
        </w:tabs>
        <w:spacing w:line="360" w:lineRule="auto"/>
        <w:ind w:left="0" w:firstLine="420"/>
        <w:textAlignment w:val="auto"/>
        <w:rPr>
          <w:rFonts w:ascii="新宋体" w:hAnsi="新宋体" w:eastAsia="新宋体"/>
          <w:kern w:val="2"/>
          <w:szCs w:val="21"/>
        </w:rPr>
      </w:pPr>
      <w:r>
        <w:rPr>
          <w:rFonts w:ascii="新宋体" w:hAnsi="新宋体" w:eastAsia="新宋体"/>
          <w:kern w:val="2"/>
          <w:szCs w:val="21"/>
        </w:rPr>
        <w:t>系统的试运行期为1个月。在试运行期间，出现非最终用户因素导致的严重系统故障的，试运行期顺延，重新按1个月计算。试运行合格后，可进行系统验收。</w:t>
      </w:r>
    </w:p>
    <w:p>
      <w:pPr>
        <w:pStyle w:val="13"/>
        <w:numPr>
          <w:ilvl w:val="0"/>
          <w:numId w:val="3"/>
        </w:numPr>
        <w:tabs>
          <w:tab w:val="left" w:pos="0"/>
          <w:tab w:val="left" w:pos="851"/>
        </w:tabs>
        <w:spacing w:line="360" w:lineRule="auto"/>
        <w:ind w:left="0" w:firstLine="420"/>
        <w:textAlignment w:val="auto"/>
        <w:rPr>
          <w:rFonts w:ascii="新宋体" w:hAnsi="新宋体" w:eastAsia="新宋体"/>
          <w:kern w:val="2"/>
          <w:szCs w:val="21"/>
        </w:rPr>
      </w:pPr>
      <w:r>
        <w:rPr>
          <w:rFonts w:ascii="新宋体" w:hAnsi="新宋体" w:eastAsia="新宋体"/>
          <w:kern w:val="2"/>
          <w:szCs w:val="21"/>
        </w:rPr>
        <w:t>在试运行期间，系统出现问题时，投标方应指定有经验的技术人员迅速赶到现场，免费进行修复。</w:t>
      </w:r>
    </w:p>
    <w:p>
      <w:pPr>
        <w:pStyle w:val="5"/>
        <w:spacing w:line="360" w:lineRule="auto"/>
        <w:jc w:val="left"/>
        <w:rPr>
          <w:rFonts w:ascii="新宋体" w:hAnsi="新宋体" w:eastAsia="新宋体"/>
          <w:sz w:val="21"/>
          <w:szCs w:val="21"/>
        </w:rPr>
      </w:pPr>
      <w:bookmarkStart w:id="41" w:name="_Toc105580085"/>
      <w:bookmarkStart w:id="42" w:name="_Toc436235783"/>
      <w:bookmarkStart w:id="43" w:name="_Toc426480321"/>
      <w:r>
        <w:rPr>
          <w:rFonts w:hint="eastAsia" w:ascii="新宋体" w:hAnsi="新宋体" w:eastAsia="新宋体"/>
          <w:sz w:val="21"/>
          <w:szCs w:val="21"/>
        </w:rPr>
        <w:t>4</w:t>
      </w:r>
      <w:r>
        <w:rPr>
          <w:rFonts w:ascii="新宋体" w:hAnsi="新宋体" w:eastAsia="新宋体"/>
          <w:sz w:val="21"/>
          <w:szCs w:val="21"/>
        </w:rPr>
        <w:t>.4系统验收</w:t>
      </w:r>
      <w:bookmarkEnd w:id="41"/>
      <w:bookmarkEnd w:id="42"/>
      <w:bookmarkEnd w:id="43"/>
    </w:p>
    <w:p>
      <w:pPr>
        <w:spacing w:line="360" w:lineRule="auto"/>
        <w:ind w:firstLine="424" w:firstLineChars="202"/>
        <w:rPr>
          <w:rFonts w:ascii="新宋体" w:hAnsi="新宋体" w:eastAsia="新宋体"/>
          <w:szCs w:val="21"/>
        </w:rPr>
      </w:pPr>
      <w:r>
        <w:rPr>
          <w:rFonts w:ascii="新宋体" w:hAnsi="新宋体" w:eastAsia="新宋体"/>
          <w:szCs w:val="21"/>
        </w:rPr>
        <w:t>为了保证系统能够满足最终用户的实际需求，招标方将指定相关人员组成项目验收小组，对系统进行初步验收和竣工验收。</w:t>
      </w:r>
    </w:p>
    <w:p>
      <w:pPr>
        <w:pStyle w:val="14"/>
        <w:numPr>
          <w:ilvl w:val="0"/>
          <w:numId w:val="5"/>
        </w:numPr>
        <w:tabs>
          <w:tab w:val="left" w:pos="993"/>
        </w:tabs>
        <w:spacing w:line="360" w:lineRule="auto"/>
        <w:ind w:firstLineChars="0"/>
        <w:rPr>
          <w:rFonts w:ascii="新宋体" w:hAnsi="新宋体" w:eastAsia="新宋体"/>
          <w:szCs w:val="21"/>
        </w:rPr>
      </w:pPr>
      <w:r>
        <w:rPr>
          <w:rFonts w:ascii="新宋体" w:hAnsi="新宋体" w:eastAsia="新宋体"/>
          <w:szCs w:val="21"/>
        </w:rPr>
        <w:t>初步验收</w:t>
      </w:r>
    </w:p>
    <w:p>
      <w:pPr>
        <w:spacing w:line="360" w:lineRule="auto"/>
        <w:ind w:firstLine="424" w:firstLineChars="202"/>
        <w:rPr>
          <w:rFonts w:ascii="新宋体" w:hAnsi="新宋体" w:eastAsia="新宋体"/>
          <w:szCs w:val="21"/>
        </w:rPr>
      </w:pPr>
      <w:r>
        <w:rPr>
          <w:rFonts w:ascii="新宋体" w:hAnsi="新宋体" w:eastAsia="新宋体"/>
          <w:szCs w:val="21"/>
        </w:rPr>
        <w:t>系统完成安装</w:t>
      </w:r>
      <w:r>
        <w:rPr>
          <w:rFonts w:hint="eastAsia" w:ascii="新宋体" w:hAnsi="新宋体" w:eastAsia="新宋体"/>
          <w:szCs w:val="21"/>
        </w:rPr>
        <w:t>部署、集成</w:t>
      </w:r>
      <w:r>
        <w:rPr>
          <w:rFonts w:ascii="新宋体" w:hAnsi="新宋体" w:eastAsia="新宋体"/>
          <w:szCs w:val="21"/>
        </w:rPr>
        <w:t>调试</w:t>
      </w:r>
      <w:r>
        <w:rPr>
          <w:rFonts w:hint="eastAsia" w:ascii="新宋体" w:hAnsi="新宋体" w:eastAsia="新宋体"/>
          <w:szCs w:val="21"/>
        </w:rPr>
        <w:t>及</w:t>
      </w:r>
      <w:r>
        <w:rPr>
          <w:rFonts w:ascii="新宋体" w:hAnsi="新宋体" w:eastAsia="新宋体"/>
          <w:szCs w:val="21"/>
        </w:rPr>
        <w:t>培训后申请初步验收。系统初步验收将由</w:t>
      </w:r>
      <w:r>
        <w:rPr>
          <w:rFonts w:hint="eastAsia" w:ascii="新宋体" w:hAnsi="新宋体" w:eastAsia="新宋体"/>
          <w:szCs w:val="21"/>
        </w:rPr>
        <w:t>招标方</w:t>
      </w:r>
      <w:r>
        <w:rPr>
          <w:rFonts w:ascii="新宋体" w:hAnsi="新宋体" w:eastAsia="新宋体"/>
          <w:szCs w:val="21"/>
        </w:rPr>
        <w:t>组织，由中标的投标方、招标方、相关用户等单位共同完成。</w:t>
      </w:r>
    </w:p>
    <w:p>
      <w:pPr>
        <w:spacing w:line="360" w:lineRule="auto"/>
        <w:ind w:firstLine="424" w:firstLineChars="202"/>
        <w:rPr>
          <w:rFonts w:ascii="新宋体" w:hAnsi="新宋体" w:eastAsia="新宋体"/>
          <w:szCs w:val="21"/>
        </w:rPr>
      </w:pPr>
      <w:r>
        <w:rPr>
          <w:rFonts w:ascii="新宋体" w:hAnsi="新宋体" w:eastAsia="新宋体"/>
          <w:szCs w:val="21"/>
        </w:rPr>
        <w:t>目的：验证合同内容的完成情况及与设计的符合程度。一是对照系统的测试方案和系统功能要求逐项进行测试、检查，并对系统功能实现、可靠性、开放性、标准性、可扩展性进行初步确认，二是提出验收意见，并提交初步验收报告。</w:t>
      </w:r>
    </w:p>
    <w:p>
      <w:pPr>
        <w:spacing w:line="360" w:lineRule="auto"/>
        <w:ind w:firstLine="424" w:firstLineChars="202"/>
        <w:rPr>
          <w:rFonts w:ascii="新宋体" w:hAnsi="新宋体" w:eastAsia="新宋体"/>
          <w:szCs w:val="21"/>
        </w:rPr>
      </w:pPr>
      <w:r>
        <w:rPr>
          <w:rFonts w:ascii="新宋体" w:hAnsi="新宋体" w:eastAsia="新宋体"/>
          <w:szCs w:val="21"/>
        </w:rPr>
        <w:t>检查：审查技术文档的完整性和符合性。</w:t>
      </w:r>
    </w:p>
    <w:p>
      <w:pPr>
        <w:spacing w:line="360" w:lineRule="auto"/>
        <w:ind w:firstLine="424" w:firstLineChars="202"/>
        <w:rPr>
          <w:rFonts w:ascii="新宋体" w:hAnsi="新宋体" w:eastAsia="新宋体"/>
          <w:szCs w:val="21"/>
        </w:rPr>
      </w:pPr>
      <w:r>
        <w:rPr>
          <w:rFonts w:ascii="新宋体" w:hAnsi="新宋体" w:eastAsia="新宋体"/>
          <w:szCs w:val="21"/>
        </w:rPr>
        <w:t>测试：根据需求分析、技术方案及其他设计文档，逐项测试各分项功能是否达到设计要求，核对实际运行效果与技术文档中描述的符合程度。</w:t>
      </w:r>
    </w:p>
    <w:p>
      <w:pPr>
        <w:spacing w:line="360" w:lineRule="auto"/>
        <w:ind w:firstLine="424" w:firstLineChars="202"/>
        <w:rPr>
          <w:rFonts w:ascii="新宋体" w:hAnsi="新宋体" w:eastAsia="新宋体"/>
          <w:szCs w:val="21"/>
        </w:rPr>
      </w:pPr>
      <w:r>
        <w:rPr>
          <w:rFonts w:ascii="新宋体" w:hAnsi="新宋体" w:eastAsia="新宋体"/>
          <w:szCs w:val="21"/>
        </w:rPr>
        <w:t>初步验收后，</w:t>
      </w:r>
      <w:r>
        <w:rPr>
          <w:rFonts w:hint="eastAsia" w:ascii="新宋体" w:hAnsi="新宋体" w:eastAsia="新宋体"/>
          <w:szCs w:val="21"/>
        </w:rPr>
        <w:t>出具</w:t>
      </w:r>
      <w:r>
        <w:rPr>
          <w:rFonts w:ascii="新宋体" w:hAnsi="新宋体" w:eastAsia="新宋体"/>
          <w:szCs w:val="21"/>
        </w:rPr>
        <w:t>《初步验收报告》。</w:t>
      </w:r>
    </w:p>
    <w:p>
      <w:pPr>
        <w:spacing w:line="360" w:lineRule="auto"/>
        <w:ind w:firstLine="424" w:firstLineChars="202"/>
        <w:rPr>
          <w:rFonts w:ascii="新宋体" w:hAnsi="新宋体" w:eastAsia="新宋体"/>
          <w:szCs w:val="21"/>
        </w:rPr>
      </w:pPr>
      <w:r>
        <w:rPr>
          <w:rFonts w:ascii="新宋体" w:hAnsi="新宋体" w:eastAsia="新宋体"/>
          <w:szCs w:val="21"/>
        </w:rPr>
        <w:t>若系统初步验收未能通过，则投标方应就验收过程中出现的问题和原因进行排查，待问题全部解决后申请重新验收。</w:t>
      </w:r>
    </w:p>
    <w:p>
      <w:pPr>
        <w:pStyle w:val="14"/>
        <w:numPr>
          <w:ilvl w:val="0"/>
          <w:numId w:val="5"/>
        </w:numPr>
        <w:tabs>
          <w:tab w:val="left" w:pos="993"/>
        </w:tabs>
        <w:spacing w:line="360" w:lineRule="auto"/>
        <w:ind w:firstLineChars="0"/>
        <w:rPr>
          <w:rFonts w:ascii="新宋体" w:hAnsi="新宋体" w:eastAsia="新宋体"/>
          <w:szCs w:val="21"/>
        </w:rPr>
      </w:pPr>
      <w:r>
        <w:rPr>
          <w:rFonts w:ascii="新宋体" w:hAnsi="新宋体" w:eastAsia="新宋体"/>
          <w:szCs w:val="21"/>
        </w:rPr>
        <w:t>竣工验收</w:t>
      </w:r>
    </w:p>
    <w:p>
      <w:pPr>
        <w:spacing w:line="360" w:lineRule="auto"/>
        <w:ind w:firstLine="424" w:firstLineChars="202"/>
        <w:rPr>
          <w:rFonts w:ascii="新宋体" w:hAnsi="新宋体" w:eastAsia="新宋体"/>
          <w:szCs w:val="21"/>
        </w:rPr>
      </w:pPr>
      <w:r>
        <w:rPr>
          <w:rFonts w:ascii="新宋体" w:hAnsi="新宋体" w:eastAsia="新宋体"/>
          <w:szCs w:val="21"/>
        </w:rPr>
        <w:t>系统试运行合格后进行竣工验收。竣工验收由用户组织，参加单位由中标的投标方、招标方、相关用户单位组成。</w:t>
      </w:r>
    </w:p>
    <w:p>
      <w:pPr>
        <w:spacing w:line="360" w:lineRule="auto"/>
        <w:ind w:firstLine="424" w:firstLineChars="202"/>
        <w:rPr>
          <w:rFonts w:ascii="新宋体" w:hAnsi="新宋体" w:eastAsia="新宋体"/>
          <w:szCs w:val="21"/>
        </w:rPr>
      </w:pPr>
      <w:r>
        <w:rPr>
          <w:rFonts w:ascii="新宋体" w:hAnsi="新宋体" w:eastAsia="新宋体"/>
          <w:szCs w:val="21"/>
        </w:rPr>
        <w:t>目的：验证工程是否全面达到设计要求和项目建设要求。</w:t>
      </w:r>
    </w:p>
    <w:p>
      <w:pPr>
        <w:spacing w:line="360" w:lineRule="auto"/>
        <w:ind w:firstLine="424" w:firstLineChars="202"/>
        <w:rPr>
          <w:rFonts w:ascii="新宋体" w:hAnsi="新宋体" w:eastAsia="新宋体"/>
          <w:szCs w:val="21"/>
        </w:rPr>
      </w:pPr>
      <w:r>
        <w:rPr>
          <w:rFonts w:ascii="新宋体" w:hAnsi="新宋体" w:eastAsia="新宋体"/>
          <w:szCs w:val="21"/>
        </w:rPr>
        <w:t>检查：核对技术文档的完整性。</w:t>
      </w:r>
    </w:p>
    <w:p>
      <w:pPr>
        <w:spacing w:line="360" w:lineRule="auto"/>
        <w:ind w:firstLine="424" w:firstLineChars="202"/>
        <w:rPr>
          <w:rFonts w:ascii="新宋体" w:hAnsi="新宋体" w:eastAsia="新宋体"/>
          <w:szCs w:val="21"/>
        </w:rPr>
      </w:pPr>
      <w:r>
        <w:rPr>
          <w:rFonts w:ascii="新宋体" w:hAnsi="新宋体" w:eastAsia="新宋体"/>
          <w:szCs w:val="21"/>
        </w:rPr>
        <w:t>测试：根据工程需求分析、技术方案及其他设计文档，逐项测试各分项功能是否达到设计要求，核对实际运行效果与技术文档中描述的符合程度。</w:t>
      </w:r>
    </w:p>
    <w:p>
      <w:pPr>
        <w:spacing w:line="360" w:lineRule="auto"/>
        <w:ind w:firstLine="424" w:firstLineChars="202"/>
        <w:rPr>
          <w:rFonts w:ascii="新宋体" w:hAnsi="新宋体" w:eastAsia="新宋体"/>
          <w:szCs w:val="21"/>
        </w:rPr>
      </w:pPr>
      <w:r>
        <w:rPr>
          <w:rFonts w:ascii="新宋体" w:hAnsi="新宋体" w:eastAsia="新宋体"/>
          <w:szCs w:val="21"/>
        </w:rPr>
        <w:t>系统竣工验收合格后，组织方出具《验收报告》，各相关方签字盖章。工程竣工验收通过后，全部系统竣工。竣工验收时，投标方向招标方提交全部系统文档资料及软件源码的最终版本。</w:t>
      </w:r>
      <w:bookmarkStart w:id="44" w:name="_Toc156363357"/>
      <w:bookmarkStart w:id="45" w:name="_Toc156293138"/>
    </w:p>
    <w:p>
      <w:pPr>
        <w:pStyle w:val="4"/>
        <w:spacing w:before="120" w:after="120" w:line="360" w:lineRule="auto"/>
        <w:rPr>
          <w:rFonts w:ascii="新宋体" w:hAnsi="新宋体" w:eastAsia="新宋体"/>
          <w:color w:val="000000"/>
          <w:sz w:val="24"/>
          <w:szCs w:val="24"/>
        </w:rPr>
      </w:pPr>
      <w:bookmarkStart w:id="46" w:name="_Toc105580086"/>
      <w:r>
        <w:rPr>
          <w:rFonts w:hint="eastAsia"/>
          <w:color w:val="000000"/>
          <w:sz w:val="24"/>
          <w:szCs w:val="24"/>
        </w:rPr>
        <w:t>5、</w:t>
      </w:r>
      <w:r>
        <w:rPr>
          <w:rFonts w:ascii="新宋体" w:hAnsi="新宋体" w:eastAsia="新宋体"/>
          <w:color w:val="000000"/>
          <w:sz w:val="24"/>
          <w:szCs w:val="24"/>
        </w:rPr>
        <w:t>技术服务和培训</w:t>
      </w:r>
      <w:bookmarkEnd w:id="44"/>
      <w:bookmarkEnd w:id="45"/>
      <w:bookmarkEnd w:id="46"/>
    </w:p>
    <w:p>
      <w:pPr>
        <w:pStyle w:val="5"/>
        <w:spacing w:before="120" w:after="120" w:line="360" w:lineRule="auto"/>
        <w:jc w:val="left"/>
        <w:rPr>
          <w:rFonts w:ascii="新宋体" w:hAnsi="新宋体" w:eastAsia="新宋体"/>
          <w:sz w:val="21"/>
          <w:szCs w:val="21"/>
        </w:rPr>
      </w:pPr>
      <w:bookmarkStart w:id="47" w:name="_Toc426480323"/>
      <w:bookmarkStart w:id="48" w:name="_Toc105580087"/>
      <w:r>
        <w:rPr>
          <w:rFonts w:hint="eastAsia" w:ascii="新宋体" w:hAnsi="新宋体" w:eastAsia="新宋体"/>
          <w:sz w:val="21"/>
          <w:szCs w:val="21"/>
        </w:rPr>
        <w:t>5</w:t>
      </w:r>
      <w:r>
        <w:rPr>
          <w:rFonts w:ascii="新宋体" w:hAnsi="新宋体" w:eastAsia="新宋体"/>
          <w:sz w:val="21"/>
          <w:szCs w:val="21"/>
        </w:rPr>
        <w:t>.1 技术</w:t>
      </w:r>
      <w:bookmarkEnd w:id="47"/>
      <w:r>
        <w:rPr>
          <w:rFonts w:ascii="新宋体" w:hAnsi="新宋体" w:eastAsia="新宋体"/>
          <w:sz w:val="21"/>
          <w:szCs w:val="21"/>
        </w:rPr>
        <w:t>服务</w:t>
      </w:r>
      <w:bookmarkEnd w:id="48"/>
    </w:p>
    <w:p>
      <w:pPr>
        <w:pStyle w:val="7"/>
        <w:spacing w:line="360" w:lineRule="auto"/>
        <w:rPr>
          <w:rFonts w:ascii="新宋体" w:hAnsi="新宋体" w:eastAsia="新宋体"/>
          <w:b w:val="0"/>
          <w:bCs/>
          <w:color w:val="000000"/>
          <w:sz w:val="21"/>
          <w:szCs w:val="21"/>
        </w:rPr>
      </w:pPr>
      <w:r>
        <w:rPr>
          <w:rFonts w:hint="eastAsia" w:ascii="新宋体" w:hAnsi="新宋体" w:eastAsia="新宋体"/>
          <w:color w:val="000000"/>
          <w:sz w:val="21"/>
          <w:szCs w:val="21"/>
        </w:rPr>
        <w:t>5</w:t>
      </w:r>
      <w:r>
        <w:rPr>
          <w:rFonts w:ascii="新宋体" w:hAnsi="新宋体" w:eastAsia="新宋体"/>
          <w:color w:val="000000"/>
          <w:sz w:val="21"/>
          <w:szCs w:val="21"/>
        </w:rPr>
        <w:t xml:space="preserve">.1.1 </w:t>
      </w:r>
      <w:r>
        <w:rPr>
          <w:rFonts w:ascii="新宋体" w:hAnsi="新宋体" w:eastAsia="新宋体"/>
          <w:bCs/>
          <w:color w:val="000000"/>
          <w:sz w:val="21"/>
          <w:szCs w:val="21"/>
        </w:rPr>
        <w:t>技术支持</w:t>
      </w:r>
    </w:p>
    <w:p>
      <w:pPr>
        <w:spacing w:line="360" w:lineRule="auto"/>
        <w:ind w:firstLine="472" w:firstLineChars="225"/>
        <w:rPr>
          <w:rFonts w:ascii="新宋体" w:hAnsi="新宋体" w:eastAsia="新宋体"/>
          <w:color w:val="000000"/>
          <w:kern w:val="0"/>
          <w:szCs w:val="21"/>
        </w:rPr>
      </w:pPr>
      <w:r>
        <w:rPr>
          <w:rFonts w:ascii="新宋体" w:hAnsi="新宋体" w:eastAsia="新宋体"/>
          <w:color w:val="000000"/>
          <w:kern w:val="0"/>
          <w:szCs w:val="21"/>
        </w:rPr>
        <w:t>投标方须有稳定的服务队伍，在应答时应详细阐述技术支持的内容、范围、响应时间和解决问题时间。投标方应对本工程所涉及的信息</w:t>
      </w:r>
      <w:r>
        <w:rPr>
          <w:rFonts w:ascii="新宋体" w:hAnsi="新宋体" w:eastAsia="新宋体"/>
          <w:color w:val="000000"/>
          <w:szCs w:val="21"/>
        </w:rPr>
        <w:t>系统提供竣工验收后</w:t>
      </w:r>
      <w:r>
        <w:rPr>
          <w:rFonts w:ascii="新宋体" w:hAnsi="新宋体" w:eastAsia="新宋体"/>
          <w:color w:val="000000"/>
          <w:kern w:val="0"/>
          <w:szCs w:val="21"/>
        </w:rPr>
        <w:t>3年免费运行维护服务。</w:t>
      </w:r>
    </w:p>
    <w:p>
      <w:pPr>
        <w:spacing w:line="360" w:lineRule="auto"/>
        <w:ind w:firstLine="472" w:firstLineChars="225"/>
        <w:rPr>
          <w:rFonts w:ascii="新宋体" w:hAnsi="新宋体" w:eastAsia="新宋体"/>
          <w:color w:val="000000"/>
          <w:kern w:val="0"/>
          <w:szCs w:val="21"/>
        </w:rPr>
      </w:pPr>
      <w:r>
        <w:rPr>
          <w:rFonts w:ascii="新宋体" w:hAnsi="新宋体" w:eastAsia="新宋体"/>
          <w:szCs w:val="21"/>
        </w:rPr>
        <w:t>在技术支持期间，运维人员对本系统故障须提供24小时的运维服务，必须在30分钟内响应各故障（响应方式包括电话、邮件、现场等中之一）。如果现场一线工程师处理或二线工程师远程排除故障（总计不超过半小时）无效时，根据故障分析，所需的运维团队二线工程师必须在24小时内到达现场。</w:t>
      </w:r>
    </w:p>
    <w:p>
      <w:pPr>
        <w:pStyle w:val="7"/>
        <w:spacing w:line="360" w:lineRule="auto"/>
        <w:rPr>
          <w:rFonts w:ascii="新宋体" w:hAnsi="新宋体" w:eastAsia="新宋体"/>
          <w:b w:val="0"/>
          <w:bCs/>
          <w:color w:val="000000"/>
          <w:sz w:val="21"/>
          <w:szCs w:val="21"/>
        </w:rPr>
      </w:pPr>
      <w:bookmarkStart w:id="49" w:name="_Toc323022003"/>
      <w:bookmarkStart w:id="50" w:name="_Toc205728314"/>
      <w:bookmarkStart w:id="51" w:name="_Toc309564581"/>
      <w:r>
        <w:rPr>
          <w:rFonts w:hint="eastAsia" w:ascii="新宋体" w:hAnsi="新宋体" w:eastAsia="新宋体"/>
          <w:color w:val="000000"/>
          <w:sz w:val="21"/>
          <w:szCs w:val="21"/>
        </w:rPr>
        <w:t>5</w:t>
      </w:r>
      <w:r>
        <w:rPr>
          <w:rFonts w:ascii="新宋体" w:hAnsi="新宋体" w:eastAsia="新宋体"/>
          <w:color w:val="000000"/>
          <w:sz w:val="21"/>
          <w:szCs w:val="21"/>
        </w:rPr>
        <w:t xml:space="preserve">.1.2 </w:t>
      </w:r>
      <w:r>
        <w:rPr>
          <w:rFonts w:ascii="新宋体" w:hAnsi="新宋体" w:eastAsia="新宋体"/>
          <w:bCs/>
          <w:color w:val="000000"/>
          <w:sz w:val="21"/>
          <w:szCs w:val="21"/>
        </w:rPr>
        <w:t>运维服务</w:t>
      </w:r>
      <w:bookmarkEnd w:id="49"/>
      <w:bookmarkEnd w:id="50"/>
      <w:bookmarkEnd w:id="51"/>
    </w:p>
    <w:p>
      <w:pPr>
        <w:spacing w:line="360" w:lineRule="auto"/>
        <w:ind w:firstLine="424" w:firstLineChars="202"/>
        <w:rPr>
          <w:rFonts w:ascii="新宋体" w:hAnsi="新宋体" w:eastAsia="新宋体"/>
          <w:color w:val="000000"/>
          <w:kern w:val="0"/>
          <w:szCs w:val="21"/>
        </w:rPr>
      </w:pPr>
      <w:r>
        <w:rPr>
          <w:rFonts w:ascii="新宋体" w:hAnsi="新宋体" w:eastAsia="新宋体"/>
          <w:color w:val="000000"/>
          <w:kern w:val="0"/>
          <w:szCs w:val="21"/>
        </w:rPr>
        <w:t>为了确保最终用户的利益，投标方对开发软件系统提供质保服务。在质保期内，如果发现由于软件本身的原因造成故障，投标方将对软件进行免费完善。</w:t>
      </w:r>
    </w:p>
    <w:p>
      <w:pPr>
        <w:pStyle w:val="14"/>
        <w:numPr>
          <w:ilvl w:val="0"/>
          <w:numId w:val="6"/>
        </w:numPr>
        <w:spacing w:line="360" w:lineRule="auto"/>
        <w:ind w:left="0" w:firstLine="424" w:firstLineChars="202"/>
        <w:rPr>
          <w:rFonts w:ascii="新宋体" w:hAnsi="新宋体" w:eastAsia="新宋体"/>
          <w:color w:val="000000"/>
          <w:szCs w:val="21"/>
        </w:rPr>
      </w:pPr>
      <w:r>
        <w:rPr>
          <w:rFonts w:ascii="新宋体" w:hAnsi="新宋体" w:eastAsia="新宋体"/>
          <w:color w:val="000000"/>
          <w:szCs w:val="21"/>
        </w:rPr>
        <w:t>软件安装服务，提供所有开发软件的现场安装配置服务。</w:t>
      </w:r>
    </w:p>
    <w:p>
      <w:pPr>
        <w:pStyle w:val="14"/>
        <w:numPr>
          <w:ilvl w:val="0"/>
          <w:numId w:val="6"/>
        </w:numPr>
        <w:spacing w:line="360" w:lineRule="auto"/>
        <w:ind w:left="0" w:firstLine="424" w:firstLineChars="202"/>
        <w:rPr>
          <w:rFonts w:ascii="新宋体" w:hAnsi="新宋体" w:eastAsia="新宋体"/>
          <w:color w:val="000000"/>
          <w:szCs w:val="21"/>
        </w:rPr>
      </w:pPr>
      <w:r>
        <w:rPr>
          <w:rFonts w:ascii="新宋体" w:hAnsi="新宋体" w:eastAsia="新宋体"/>
          <w:color w:val="000000"/>
          <w:szCs w:val="21"/>
        </w:rPr>
        <w:t>软件在运行过程中如果出现技术性能问题，投标方应保证24小时内解决问题（以报修时间算起）。</w:t>
      </w:r>
    </w:p>
    <w:p>
      <w:pPr>
        <w:pStyle w:val="14"/>
        <w:numPr>
          <w:ilvl w:val="0"/>
          <w:numId w:val="6"/>
        </w:numPr>
        <w:spacing w:line="360" w:lineRule="auto"/>
        <w:ind w:left="0" w:firstLine="424" w:firstLineChars="202"/>
        <w:rPr>
          <w:rFonts w:ascii="新宋体" w:hAnsi="新宋体" w:eastAsia="新宋体"/>
          <w:color w:val="000000"/>
          <w:szCs w:val="21"/>
        </w:rPr>
      </w:pPr>
      <w:r>
        <w:rPr>
          <w:rFonts w:ascii="新宋体" w:hAnsi="新宋体" w:eastAsia="新宋体"/>
          <w:color w:val="000000"/>
          <w:szCs w:val="21"/>
        </w:rPr>
        <w:t>若因投标方设计、安装原因而造成故障，则保证期由此故障修复之日重新开始。</w:t>
      </w:r>
    </w:p>
    <w:p>
      <w:pPr>
        <w:pStyle w:val="14"/>
        <w:numPr>
          <w:ilvl w:val="0"/>
          <w:numId w:val="6"/>
        </w:numPr>
        <w:spacing w:line="360" w:lineRule="auto"/>
        <w:ind w:left="0" w:firstLine="424" w:firstLineChars="202"/>
        <w:rPr>
          <w:rFonts w:ascii="新宋体" w:hAnsi="新宋体" w:eastAsia="新宋体"/>
          <w:color w:val="000000"/>
          <w:szCs w:val="21"/>
        </w:rPr>
      </w:pPr>
      <w:r>
        <w:rPr>
          <w:rFonts w:ascii="新宋体" w:hAnsi="新宋体" w:eastAsia="新宋体"/>
          <w:color w:val="000000"/>
          <w:szCs w:val="21"/>
        </w:rPr>
        <w:t>投标方须认真理解上述保修要求，详细列出保修方案，一经应答将作为合同的一部分。</w:t>
      </w:r>
    </w:p>
    <w:p>
      <w:pPr>
        <w:pStyle w:val="14"/>
        <w:numPr>
          <w:ilvl w:val="0"/>
          <w:numId w:val="6"/>
        </w:numPr>
        <w:spacing w:line="360" w:lineRule="auto"/>
        <w:ind w:left="0" w:firstLine="424" w:firstLineChars="202"/>
        <w:rPr>
          <w:rFonts w:ascii="新宋体" w:hAnsi="新宋体" w:eastAsia="新宋体"/>
          <w:color w:val="000000"/>
          <w:szCs w:val="21"/>
        </w:rPr>
      </w:pPr>
      <w:r>
        <w:rPr>
          <w:rFonts w:ascii="新宋体" w:hAnsi="新宋体" w:eastAsia="新宋体"/>
          <w:color w:val="000000"/>
          <w:szCs w:val="21"/>
        </w:rPr>
        <w:t>投标方必须提供对本项目正式服务承诺说明的原件（至少包括服务内容、期限、费用等），该承诺将同投标方在标书中相关部分所列费用一起作为评判应答方案合理性的关键性依据。</w:t>
      </w:r>
    </w:p>
    <w:p>
      <w:pPr>
        <w:pStyle w:val="5"/>
        <w:spacing w:before="120" w:after="120" w:line="360" w:lineRule="auto"/>
        <w:jc w:val="left"/>
        <w:rPr>
          <w:rFonts w:ascii="新宋体" w:hAnsi="新宋体" w:eastAsia="新宋体"/>
          <w:sz w:val="21"/>
          <w:szCs w:val="21"/>
        </w:rPr>
      </w:pPr>
      <w:bookmarkStart w:id="52" w:name="_Toc105580088"/>
      <w:bookmarkStart w:id="53" w:name="_Toc136829048"/>
      <w:bookmarkStart w:id="54" w:name="_Toc40612076"/>
      <w:bookmarkStart w:id="55" w:name="_Toc156363362"/>
      <w:bookmarkStart w:id="56" w:name="_Toc457368739"/>
      <w:bookmarkStart w:id="57" w:name="_Toc105752952"/>
      <w:bookmarkStart w:id="58" w:name="_Toc457206136"/>
      <w:bookmarkStart w:id="59" w:name="_Toc156293143"/>
      <w:r>
        <w:rPr>
          <w:rFonts w:hint="eastAsia" w:ascii="新宋体" w:hAnsi="新宋体" w:eastAsia="新宋体"/>
          <w:sz w:val="21"/>
          <w:szCs w:val="21"/>
        </w:rPr>
        <w:t>5</w:t>
      </w:r>
      <w:r>
        <w:rPr>
          <w:rFonts w:ascii="新宋体" w:hAnsi="新宋体" w:eastAsia="新宋体"/>
          <w:sz w:val="21"/>
          <w:szCs w:val="21"/>
        </w:rPr>
        <w:t>.2 技术培训</w:t>
      </w:r>
      <w:bookmarkEnd w:id="52"/>
      <w:bookmarkEnd w:id="53"/>
      <w:bookmarkEnd w:id="54"/>
      <w:bookmarkEnd w:id="55"/>
      <w:bookmarkEnd w:id="56"/>
      <w:bookmarkEnd w:id="57"/>
      <w:bookmarkEnd w:id="58"/>
      <w:bookmarkEnd w:id="59"/>
    </w:p>
    <w:p>
      <w:pPr>
        <w:spacing w:line="360" w:lineRule="auto"/>
        <w:ind w:firstLine="560"/>
        <w:rPr>
          <w:rFonts w:ascii="新宋体" w:hAnsi="新宋体" w:eastAsia="新宋体"/>
          <w:color w:val="000000"/>
          <w:szCs w:val="21"/>
          <w:lang w:bidi="ar"/>
        </w:rPr>
      </w:pPr>
      <w:r>
        <w:rPr>
          <w:rFonts w:ascii="新宋体" w:hAnsi="新宋体" w:eastAsia="新宋体"/>
          <w:color w:val="000000"/>
          <w:szCs w:val="21"/>
          <w:lang w:bidi="ar"/>
        </w:rPr>
        <w:t>1、投标人应对招标人维护、操作人员进行技术培训。</w:t>
      </w:r>
    </w:p>
    <w:p>
      <w:pPr>
        <w:spacing w:line="360" w:lineRule="auto"/>
        <w:ind w:firstLine="560"/>
        <w:rPr>
          <w:rFonts w:ascii="新宋体" w:hAnsi="新宋体" w:eastAsia="新宋体"/>
          <w:color w:val="000000"/>
          <w:szCs w:val="21"/>
          <w:lang w:bidi="ar"/>
        </w:rPr>
      </w:pPr>
      <w:r>
        <w:rPr>
          <w:rFonts w:ascii="新宋体" w:hAnsi="新宋体" w:eastAsia="新宋体"/>
          <w:color w:val="000000"/>
          <w:szCs w:val="21"/>
          <w:lang w:bidi="ar"/>
        </w:rPr>
        <w:t>2、投标人承担本次培训费用，包括培训教材、师资费用。</w:t>
      </w:r>
    </w:p>
    <w:p>
      <w:pPr>
        <w:spacing w:line="360" w:lineRule="auto"/>
        <w:ind w:firstLine="560"/>
        <w:rPr>
          <w:rFonts w:ascii="新宋体" w:hAnsi="新宋体" w:eastAsia="新宋体"/>
          <w:color w:val="000000"/>
          <w:szCs w:val="21"/>
          <w:lang w:bidi="ar"/>
        </w:rPr>
      </w:pPr>
      <w:r>
        <w:rPr>
          <w:rFonts w:ascii="新宋体" w:hAnsi="新宋体" w:eastAsia="新宋体"/>
          <w:color w:val="000000"/>
          <w:szCs w:val="21"/>
          <w:lang w:bidi="ar"/>
        </w:rPr>
        <w:t>3、招标人负责组织系统维护、操作人员进行集中培训。</w:t>
      </w:r>
    </w:p>
    <w:p>
      <w:pPr>
        <w:pStyle w:val="11"/>
        <w:ind w:firstLine="424"/>
        <w:rPr>
          <w:rFonts w:ascii="新宋体" w:hAnsi="新宋体" w:eastAsia="新宋体" w:cs="Times New Roman"/>
          <w:sz w:val="21"/>
          <w:szCs w:val="21"/>
        </w:rPr>
      </w:pPr>
      <w:bookmarkStart w:id="60" w:name="_Toc156293158"/>
      <w:bookmarkEnd w:id="60"/>
      <w:bookmarkStart w:id="61" w:name="_Toc156293153"/>
      <w:bookmarkEnd w:id="61"/>
      <w:bookmarkStart w:id="62" w:name="_Toc156293154"/>
      <w:bookmarkEnd w:id="62"/>
      <w:bookmarkStart w:id="63" w:name="_Toc156293152"/>
      <w:bookmarkEnd w:id="63"/>
      <w:bookmarkStart w:id="64" w:name="_Toc156293150"/>
      <w:bookmarkEnd w:id="64"/>
      <w:bookmarkStart w:id="65" w:name="_Toc156293159"/>
      <w:bookmarkEnd w:id="65"/>
      <w:bookmarkStart w:id="66" w:name="_Toc156293147"/>
      <w:bookmarkEnd w:id="66"/>
      <w:bookmarkStart w:id="67" w:name="_Toc156293149"/>
      <w:bookmarkEnd w:id="67"/>
      <w:bookmarkStart w:id="68" w:name="_Toc156293156"/>
      <w:bookmarkEnd w:id="68"/>
      <w:bookmarkStart w:id="69" w:name="_Toc156293146"/>
      <w:bookmarkEnd w:id="69"/>
      <w:bookmarkStart w:id="70" w:name="_Toc156293144"/>
      <w:bookmarkEnd w:id="70"/>
      <w:bookmarkStart w:id="71" w:name="_Toc156293145"/>
      <w:bookmarkEnd w:id="71"/>
      <w:bookmarkStart w:id="72" w:name="_Toc156293155"/>
      <w:bookmarkEnd w:id="72"/>
      <w:bookmarkStart w:id="73" w:name="_Toc156293151"/>
      <w:bookmarkEnd w:id="73"/>
      <w:bookmarkStart w:id="74" w:name="_Toc156293157"/>
      <w:bookmarkEnd w:id="74"/>
      <w:r>
        <w:rPr>
          <w:rFonts w:ascii="新宋体" w:hAnsi="新宋体" w:eastAsia="新宋体" w:cs="Times New Roman"/>
          <w:sz w:val="21"/>
          <w:szCs w:val="21"/>
          <w:lang w:bidi="ar"/>
        </w:rPr>
        <w:t>此项系统培训应使各使用单位、维护单位尽快掌握软件系统的操作方法和规范流程，保障系统移交后的合理使用、维护和正常运转。减少系统故障率，提高系统运行效率，保障系统的可靠运行。培训课程应包含尽可能多的系统知识和使用、维护常识等，并使参加培训的学员能够达到独立使用和基本维护的能力。</w:t>
      </w:r>
    </w:p>
    <w:p>
      <w:pPr>
        <w:pStyle w:val="11"/>
        <w:ind w:firstLine="424"/>
        <w:rPr>
          <w:rFonts w:ascii="新宋体" w:hAnsi="新宋体" w:eastAsia="新宋体" w:cs="Times New Roman"/>
          <w:sz w:val="21"/>
          <w:szCs w:val="21"/>
        </w:rPr>
      </w:pPr>
      <w:r>
        <w:rPr>
          <w:rFonts w:ascii="新宋体" w:hAnsi="新宋体" w:eastAsia="新宋体" w:cs="Times New Roman"/>
          <w:sz w:val="21"/>
          <w:szCs w:val="21"/>
          <w:lang w:bidi="ar"/>
        </w:rPr>
        <w:t>4、培训对象为</w:t>
      </w:r>
      <w:r>
        <w:rPr>
          <w:rFonts w:hint="eastAsia" w:ascii="新宋体" w:hAnsi="新宋体" w:eastAsia="新宋体" w:cs="Times New Roman"/>
          <w:sz w:val="21"/>
          <w:szCs w:val="21"/>
          <w:lang w:bidi="ar"/>
        </w:rPr>
        <w:t>深圳海事局的业务使用人员和技术人员</w:t>
      </w:r>
      <w:r>
        <w:rPr>
          <w:rFonts w:ascii="新宋体" w:hAnsi="新宋体" w:eastAsia="新宋体" w:cs="Times New Roman"/>
          <w:sz w:val="21"/>
          <w:szCs w:val="21"/>
          <w:lang w:bidi="ar"/>
        </w:rPr>
        <w:t>。培训采用集中培训方式，集中培训为集中为最终用户和招标方维护人员进行讲座形式的培训和模拟使用。培训要求如下：</w:t>
      </w:r>
    </w:p>
    <w:p>
      <w:pPr>
        <w:pStyle w:val="11"/>
        <w:ind w:firstLine="424"/>
        <w:rPr>
          <w:rFonts w:ascii="新宋体" w:hAnsi="新宋体" w:eastAsia="新宋体" w:cs="Times New Roman"/>
          <w:sz w:val="21"/>
          <w:szCs w:val="21"/>
        </w:rPr>
      </w:pPr>
      <w:r>
        <w:rPr>
          <w:rFonts w:ascii="新宋体" w:hAnsi="新宋体" w:eastAsia="新宋体" w:cs="Times New Roman"/>
          <w:sz w:val="21"/>
          <w:szCs w:val="21"/>
          <w:lang w:bidi="ar"/>
        </w:rPr>
        <w:t>主要培训内容包括</w:t>
      </w:r>
      <w:r>
        <w:rPr>
          <w:rFonts w:hint="eastAsia" w:ascii="新宋体" w:hAnsi="新宋体" w:eastAsia="新宋体" w:cs="Times New Roman"/>
          <w:sz w:val="21"/>
          <w:szCs w:val="21"/>
          <w:lang w:bidi="ar"/>
        </w:rPr>
        <w:t>系统使用功能、系统运维等内容</w:t>
      </w:r>
      <w:r>
        <w:rPr>
          <w:rFonts w:ascii="新宋体" w:hAnsi="新宋体" w:eastAsia="新宋体" w:cs="Times New Roman"/>
          <w:sz w:val="21"/>
          <w:szCs w:val="21"/>
          <w:lang w:bidi="ar"/>
        </w:rPr>
        <w:t>。</w:t>
      </w:r>
    </w:p>
    <w:p>
      <w:pPr>
        <w:pStyle w:val="11"/>
        <w:ind w:firstLine="424"/>
        <w:rPr>
          <w:rFonts w:ascii="新宋体" w:hAnsi="新宋体" w:eastAsia="新宋体" w:cs="Times New Roman"/>
          <w:sz w:val="21"/>
          <w:szCs w:val="21"/>
          <w:lang w:bidi="ar"/>
        </w:rPr>
      </w:pPr>
      <w:r>
        <w:rPr>
          <w:rFonts w:ascii="新宋体" w:hAnsi="新宋体" w:eastAsia="新宋体" w:cs="Times New Roman"/>
          <w:sz w:val="21"/>
          <w:szCs w:val="21"/>
          <w:lang w:bidi="ar"/>
        </w:rPr>
        <w:t>5、培训教材要求应包括培训的全部内容。所有培训材料、教材应以中文编写。</w:t>
      </w:r>
    </w:p>
    <w:p>
      <w:pPr>
        <w:pStyle w:val="11"/>
        <w:ind w:firstLine="424"/>
        <w:rPr>
          <w:rFonts w:ascii="新宋体" w:hAnsi="新宋体" w:eastAsia="新宋体" w:cs="Times New Roman"/>
          <w:sz w:val="21"/>
          <w:szCs w:val="21"/>
        </w:rPr>
      </w:pPr>
      <w:r>
        <w:rPr>
          <w:rFonts w:ascii="新宋体" w:hAnsi="新宋体" w:eastAsia="新宋体" w:cs="Times New Roman"/>
          <w:sz w:val="21"/>
          <w:szCs w:val="21"/>
          <w:lang w:bidi="ar"/>
        </w:rPr>
        <w:t>6、培训教师</w:t>
      </w:r>
      <w:r>
        <w:rPr>
          <w:rFonts w:hint="eastAsia" w:ascii="新宋体" w:hAnsi="新宋体" w:eastAsia="新宋体" w:cs="Times New Roman"/>
          <w:sz w:val="21"/>
          <w:szCs w:val="21"/>
          <w:lang w:bidi="ar"/>
        </w:rPr>
        <w:t>需</w:t>
      </w:r>
      <w:r>
        <w:rPr>
          <w:rFonts w:ascii="新宋体" w:hAnsi="新宋体" w:eastAsia="新宋体" w:cs="Times New Roman"/>
          <w:sz w:val="21"/>
          <w:szCs w:val="21"/>
          <w:lang w:bidi="ar"/>
        </w:rPr>
        <w:t>为投标人资深技术人员，对系统的操作、维护、常见故障排除等</w:t>
      </w:r>
      <w:r>
        <w:rPr>
          <w:rFonts w:hint="eastAsia" w:ascii="新宋体" w:hAnsi="新宋体" w:eastAsia="新宋体" w:cs="Times New Roman"/>
          <w:sz w:val="21"/>
          <w:szCs w:val="21"/>
          <w:lang w:bidi="ar"/>
        </w:rPr>
        <w:t>方面比较熟悉，培训经验丰富</w:t>
      </w:r>
      <w:r>
        <w:rPr>
          <w:rFonts w:ascii="新宋体" w:hAnsi="新宋体" w:eastAsia="新宋体" w:cs="Times New Roman"/>
          <w:sz w:val="21"/>
          <w:szCs w:val="21"/>
          <w:lang w:bidi="ar"/>
        </w:rPr>
        <w:t>。</w:t>
      </w:r>
    </w:p>
    <w:p>
      <w:pPr>
        <w:pStyle w:val="3"/>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rPr>
          <w:rFonts w:ascii="新宋体" w:hAnsi="新宋体" w:eastAsia="新宋体" w:cs="宋体"/>
          <w:szCs w:val="21"/>
        </w:rPr>
      </w:pPr>
      <w:r>
        <w:rPr>
          <w:rFonts w:hint="eastAsia" w:ascii="新宋体" w:hAnsi="新宋体" w:eastAsia="新宋体" w:cs="宋体"/>
          <w:b/>
          <w:szCs w:val="21"/>
        </w:rPr>
        <w:t>（一）服务期限：</w:t>
      </w:r>
      <w:r>
        <w:rPr>
          <w:rFonts w:hint="eastAsia" w:ascii="新宋体" w:hAnsi="新宋体" w:eastAsia="新宋体" w:cs="宋体"/>
          <w:szCs w:val="21"/>
        </w:rPr>
        <w:t>本项目建设周期为合同签订后的6个月内完成项目验收工作。</w:t>
      </w:r>
    </w:p>
    <w:p>
      <w:pPr>
        <w:spacing w:line="360" w:lineRule="auto"/>
        <w:rPr>
          <w:rFonts w:ascii="新宋体" w:hAnsi="新宋体" w:eastAsia="新宋体" w:cs="宋体"/>
          <w:szCs w:val="21"/>
        </w:rPr>
      </w:pPr>
      <w:r>
        <w:rPr>
          <w:rFonts w:hint="eastAsia" w:ascii="新宋体" w:hAnsi="新宋体" w:eastAsia="新宋体" w:cs="宋体"/>
          <w:b/>
          <w:szCs w:val="21"/>
        </w:rPr>
        <w:t>（二）付款方式：</w:t>
      </w:r>
      <w:r>
        <w:rPr>
          <w:rFonts w:hint="eastAsia"/>
        </w:rPr>
        <w:t>_</w:t>
      </w:r>
      <w:r>
        <w:rPr>
          <w:rFonts w:hint="eastAsia"/>
          <w:u w:val="single"/>
        </w:rPr>
        <w:t>合同签订后20个工作日内，支付合同款额30%；系统验收完成后20个工作日内，支付至合同款额100%。（具体以合同签订的为准）。</w:t>
      </w:r>
    </w:p>
    <w:p>
      <w:pPr>
        <w:spacing w:line="360" w:lineRule="auto"/>
        <w:rPr>
          <w:rFonts w:ascii="新宋体" w:hAnsi="新宋体" w:eastAsia="新宋体" w:cs="宋体"/>
          <w:b/>
          <w:szCs w:val="21"/>
        </w:rPr>
      </w:pPr>
      <w:r>
        <w:rPr>
          <w:rFonts w:hint="eastAsia" w:ascii="新宋体" w:hAnsi="新宋体" w:eastAsia="新宋体" w:cs="宋体"/>
          <w:b/>
          <w:szCs w:val="21"/>
        </w:rPr>
        <w:t>（三）质量考核验收标准及违约金</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1.质量考核验收标准：</w:t>
      </w:r>
    </w:p>
    <w:p>
      <w:pPr>
        <w:spacing w:line="360" w:lineRule="auto"/>
        <w:ind w:firstLine="560"/>
        <w:rPr>
          <w:rFonts w:ascii="新宋体" w:hAnsi="新宋体" w:eastAsia="新宋体"/>
          <w:szCs w:val="21"/>
          <w:lang w:bidi="ar"/>
        </w:rPr>
      </w:pPr>
      <w:r>
        <w:rPr>
          <w:rFonts w:hint="eastAsia" w:ascii="新宋体" w:hAnsi="新宋体" w:eastAsia="新宋体"/>
          <w:szCs w:val="21"/>
          <w:lang w:bidi="ar"/>
        </w:rPr>
        <w:t>（1）初步验收：中标人按合同约定的建设内容和相关要求完成本项目的系统开发工作，系统完成安装部署、集成调试及培训后，中标人向采购人发起初步验收申请并报告本项目履约情况总结，采购人组织相关专家对合同建设内容进行评审，包括验证合同内容的完成情况及与设计的符合程度，对项目建设内容逐项验收，出具初步验收意见。验收结果将作为项目初步验收以及采购人付款的重要依据。</w:t>
      </w:r>
    </w:p>
    <w:p>
      <w:pPr>
        <w:spacing w:line="360" w:lineRule="auto"/>
        <w:ind w:firstLine="560"/>
        <w:rPr>
          <w:rFonts w:ascii="新宋体" w:hAnsi="新宋体" w:eastAsia="新宋体"/>
          <w:szCs w:val="21"/>
          <w:lang w:bidi="ar"/>
        </w:rPr>
      </w:pPr>
      <w:r>
        <w:rPr>
          <w:rFonts w:hint="eastAsia" w:ascii="新宋体" w:hAnsi="新宋体" w:eastAsia="新宋体"/>
          <w:szCs w:val="21"/>
          <w:lang w:bidi="ar"/>
        </w:rPr>
        <w:t>（2）竣工验收：系统试运行合格后进行竣工验收，中标人向采购人发起竣工验收申请并报告本项目履约情况总结，竣工验收由用户组织相关专家对项目建设内容进行评审，参加单位由中标的投标方、招标方、相关用户单位共同组成，对项目的建设内容是否全面达到设计要求和项目建设要求进行评审，并出具竣工验收意见。验收结果将作为项目竣工验收以及采购人付款的重要依据。</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2.违约金：</w:t>
      </w:r>
    </w:p>
    <w:p>
      <w:pPr>
        <w:spacing w:line="360" w:lineRule="auto"/>
        <w:ind w:firstLine="560"/>
        <w:rPr>
          <w:rFonts w:ascii="新宋体" w:hAnsi="新宋体" w:eastAsia="新宋体"/>
          <w:color w:val="000000"/>
          <w:szCs w:val="21"/>
          <w:lang w:bidi="ar"/>
        </w:rPr>
      </w:pPr>
      <w:r>
        <w:rPr>
          <w:rFonts w:hint="eastAsia" w:ascii="新宋体" w:hAnsi="新宋体" w:eastAsia="新宋体"/>
          <w:szCs w:val="21"/>
          <w:lang w:bidi="ar"/>
        </w:rPr>
        <w:t>（1）投标人中标签订合同后应按照本项目招</w:t>
      </w:r>
      <w:r>
        <w:rPr>
          <w:rFonts w:hint="eastAsia" w:ascii="新宋体" w:hAnsi="新宋体" w:eastAsia="新宋体"/>
          <w:color w:val="000000"/>
          <w:szCs w:val="21"/>
          <w:lang w:bidi="ar"/>
        </w:rPr>
        <w:t>标文件和合同约定的要求提供各项服务，因乙方不具备履行服务能力或者不服从甲方管理规定或乙方违约等情况，甲方有权单方解除合同、终止与乙方的服务合作，乙方应无条件退还已支付的全部合同款项，甲方有权不支付余下的款项。因乙方原因造成甲方经济损失及不良社会影响的，乙方按照造成直接和间接经济损失进行全部赔偿，由此造成违法犯罪的，乙方承担相应的民事责任或刑事责任。</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2）乙方有责任按时按质按量完成本合同约定的开发工作并按时向甲方交付成果，如因乙方自身原因，未能按时按质按量交付，则每延期一天，乙方应按本项目总费用的3‰向甲方支付违约金并赔偿损失。若乙方逾期超过10天的，甲方有权单方解除本合同。如确因甲方需求原因或接口不及时等原因导致乙方不能，并能提供相应的证据，则不承担违约责任。</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（3）.乙方不得直接或变相地将本项目分包、转包给任何第三方，否则甲方有权单方解除本合同。</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（4）.合同签订后，若乙方单方解除本合同，或因乙方违约导致甲方解除本合同的，乙方应退还甲方已付的全部合同价款，并按本合同总价款的</w:t>
      </w:r>
      <w:r>
        <w:rPr>
          <w:rFonts w:ascii="新宋体" w:hAnsi="新宋体" w:eastAsia="新宋体"/>
          <w:color w:val="000000"/>
          <w:szCs w:val="21"/>
          <w:lang w:bidi="ar"/>
        </w:rPr>
        <w:t>1</w:t>
      </w:r>
      <w:r>
        <w:rPr>
          <w:rFonts w:hint="eastAsia" w:ascii="新宋体" w:hAnsi="新宋体" w:eastAsia="新宋体"/>
          <w:color w:val="000000"/>
          <w:szCs w:val="21"/>
          <w:lang w:bidi="ar"/>
        </w:rPr>
        <w:t>0%支付甲方违约金并赔偿损失。</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（5）.乙方所交付的系统功能、性能、服务等不符合合同规定的，甲方有权拒收。甲方拒收的，乙方应向甲方支付合同总价款5%的违约金。</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（6）.若乙方逾期完成安装调试超过10天的，甲方有权单方解除本合同。</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（7）.任何一方违反本合同规定的保密义务，违约方应当向守约方支付合同总价款1</w:t>
      </w:r>
      <w:r>
        <w:rPr>
          <w:rFonts w:ascii="新宋体" w:hAnsi="新宋体" w:eastAsia="新宋体"/>
          <w:color w:val="000000"/>
          <w:szCs w:val="21"/>
          <w:lang w:bidi="ar"/>
        </w:rPr>
        <w:t>0</w:t>
      </w:r>
      <w:r>
        <w:rPr>
          <w:rFonts w:hint="eastAsia" w:ascii="新宋体" w:hAnsi="新宋体" w:eastAsia="新宋体"/>
          <w:color w:val="000000"/>
          <w:szCs w:val="21"/>
          <w:lang w:bidi="ar"/>
        </w:rPr>
        <w:t>%的违约金并赔偿守约方的经济损失。</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（四）项目培训要求</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1. 中标公司负责对系统使用用户免费进行培训并提供详细的培训计划;</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2. 必须为所有被培训人员提供使用说明书及培训文字资料等材料;</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3. 培训时间与日期必须在项目计划中予以安排。</w:t>
      </w:r>
    </w:p>
    <w:p>
      <w:pPr>
        <w:spacing w:line="360" w:lineRule="auto"/>
        <w:ind w:firstLine="560"/>
        <w:rPr>
          <w:rFonts w:ascii="新宋体" w:hAnsi="新宋体" w:eastAsia="新宋体"/>
          <w:color w:val="000000"/>
          <w:szCs w:val="21"/>
          <w:lang w:bidi="ar"/>
        </w:rPr>
      </w:pPr>
      <w:r>
        <w:rPr>
          <w:rFonts w:hint="eastAsia" w:ascii="新宋体" w:hAnsi="新宋体" w:eastAsia="新宋体"/>
          <w:color w:val="000000"/>
          <w:szCs w:val="21"/>
          <w:lang w:bidi="ar"/>
        </w:rPr>
        <w:t>（五）售后服务要求</w:t>
      </w:r>
    </w:p>
    <w:p>
      <w:pPr>
        <w:spacing w:line="360" w:lineRule="auto"/>
        <w:ind w:firstLine="560"/>
        <w:rPr>
          <w:rFonts w:ascii="新宋体" w:hAnsi="新宋体" w:eastAsia="新宋体"/>
          <w:szCs w:val="21"/>
          <w:lang w:bidi="ar"/>
        </w:rPr>
      </w:pPr>
      <w:r>
        <w:rPr>
          <w:rFonts w:ascii="新宋体" w:hAnsi="新宋体" w:eastAsia="新宋体"/>
          <w:szCs w:val="21"/>
          <w:lang w:bidi="ar"/>
        </w:rPr>
        <w:t xml:space="preserve">1. </w:t>
      </w:r>
      <w:r>
        <w:rPr>
          <w:rFonts w:hint="eastAsia" w:ascii="新宋体" w:hAnsi="新宋体" w:eastAsia="新宋体"/>
          <w:szCs w:val="21"/>
          <w:lang w:bidi="ar"/>
        </w:rPr>
        <w:t>中标公司提供为期</w:t>
      </w:r>
      <w:r>
        <w:rPr>
          <w:rFonts w:ascii="新宋体" w:hAnsi="新宋体" w:eastAsia="新宋体"/>
          <w:szCs w:val="21"/>
          <w:lang w:bidi="ar"/>
        </w:rPr>
        <w:t>3</w:t>
      </w:r>
      <w:r>
        <w:rPr>
          <w:rFonts w:hint="eastAsia" w:ascii="新宋体" w:hAnsi="新宋体" w:eastAsia="新宋体"/>
          <w:szCs w:val="21"/>
          <w:lang w:bidi="ar"/>
        </w:rPr>
        <w:t>年的免费软件技术支持服务，时间自系统验收</w:t>
      </w:r>
      <w:r>
        <w:rPr>
          <w:rFonts w:ascii="新宋体" w:hAnsi="新宋体" w:eastAsia="新宋体"/>
          <w:szCs w:val="21"/>
          <w:lang w:bidi="ar"/>
        </w:rPr>
        <w:t>之日起。</w:t>
      </w:r>
      <w:r>
        <w:rPr>
          <w:rFonts w:hint="eastAsia" w:ascii="新宋体" w:hAnsi="新宋体" w:eastAsia="新宋体"/>
          <w:szCs w:val="21"/>
          <w:lang w:bidi="ar"/>
        </w:rPr>
        <w:t>包括软件维护、</w:t>
      </w:r>
      <w:r>
        <w:rPr>
          <w:rFonts w:ascii="新宋体" w:hAnsi="新宋体" w:eastAsia="新宋体"/>
          <w:szCs w:val="21"/>
          <w:lang w:bidi="ar"/>
        </w:rPr>
        <w:t>BUG</w:t>
      </w:r>
      <w:r>
        <w:rPr>
          <w:rFonts w:hint="eastAsia" w:ascii="新宋体" w:hAnsi="新宋体" w:eastAsia="新宋体"/>
          <w:szCs w:val="21"/>
          <w:lang w:bidi="ar"/>
        </w:rPr>
        <w:t>修复及系统运行支持服务。</w:t>
      </w:r>
    </w:p>
    <w:p>
      <w:pPr>
        <w:spacing w:line="360" w:lineRule="auto"/>
        <w:ind w:firstLine="560"/>
        <w:rPr>
          <w:rFonts w:ascii="新宋体" w:hAnsi="新宋体" w:eastAsia="新宋体"/>
          <w:szCs w:val="21"/>
          <w:lang w:bidi="ar"/>
        </w:rPr>
      </w:pPr>
      <w:r>
        <w:rPr>
          <w:rFonts w:hint="eastAsia" w:ascii="新宋体" w:hAnsi="新宋体" w:eastAsia="新宋体"/>
          <w:szCs w:val="21"/>
          <w:lang w:bidi="ar"/>
        </w:rPr>
        <w:t>2. 中标公司须提供售后服务团队的名称、技术人员、联系地址、电话、服务手段等详细资料。</w:t>
      </w:r>
    </w:p>
    <w:p>
      <w:pPr>
        <w:spacing w:line="360" w:lineRule="auto"/>
        <w:ind w:firstLine="560"/>
        <w:rPr>
          <w:rFonts w:ascii="新宋体" w:hAnsi="新宋体" w:eastAsia="新宋体"/>
          <w:szCs w:val="21"/>
          <w:lang w:bidi="ar"/>
        </w:rPr>
      </w:pPr>
      <w:r>
        <w:rPr>
          <w:rFonts w:hint="eastAsia" w:ascii="新宋体" w:hAnsi="新宋体" w:eastAsia="新宋体"/>
          <w:szCs w:val="21"/>
          <w:lang w:bidi="ar"/>
        </w:rPr>
        <w:t>3. 在服务期限内，中标公司对本项目的合理需求和服务要求给予及时响应。对出现的系统故障，应在接到故障通知后</w:t>
      </w:r>
      <w:r>
        <w:rPr>
          <w:rFonts w:ascii="新宋体" w:hAnsi="新宋体" w:eastAsia="新宋体"/>
          <w:szCs w:val="21"/>
          <w:lang w:bidi="ar"/>
        </w:rPr>
        <w:t>24</w:t>
      </w:r>
      <w:r>
        <w:rPr>
          <w:rFonts w:hint="eastAsia" w:ascii="新宋体" w:hAnsi="新宋体" w:eastAsia="新宋体"/>
          <w:szCs w:val="21"/>
          <w:lang w:bidi="ar"/>
        </w:rPr>
        <w:t>小时内响应。</w:t>
      </w:r>
    </w:p>
    <w:p>
      <w:pPr>
        <w:spacing w:line="360" w:lineRule="auto"/>
        <w:ind w:firstLine="560"/>
        <w:rPr>
          <w:rFonts w:ascii="新宋体" w:hAnsi="新宋体" w:eastAsia="新宋体"/>
          <w:szCs w:val="21"/>
          <w:lang w:bidi="ar"/>
        </w:rPr>
      </w:pPr>
    </w:p>
    <w:p>
      <w:pPr>
        <w:pStyle w:val="3"/>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3"/>
        <w:jc w:val="left"/>
        <w:rPr>
          <w:rFonts w:ascii="新宋体" w:hAnsi="新宋体" w:eastAsia="新宋体"/>
          <w:kern w:val="44"/>
          <w:sz w:val="30"/>
          <w:szCs w:val="30"/>
        </w:rPr>
      </w:pPr>
      <w:r>
        <w:rPr>
          <w:rFonts w:hint="eastAsia" w:ascii="新宋体" w:hAnsi="新宋体" w:eastAsia="新宋体"/>
          <w:kern w:val="44"/>
          <w:sz w:val="30"/>
          <w:szCs w:val="30"/>
        </w:rPr>
        <w:t>七、演示要求</w:t>
      </w:r>
    </w:p>
    <w:p>
      <w:pPr>
        <w:spacing w:line="360" w:lineRule="auto"/>
        <w:rPr>
          <w:rFonts w:ascii="新宋体" w:hAnsi="新宋体" w:eastAsia="新宋体"/>
        </w:rPr>
      </w:pPr>
      <w:r>
        <w:rPr>
          <w:rFonts w:hint="eastAsia" w:ascii="新宋体" w:hAnsi="新宋体" w:eastAsia="新宋体"/>
        </w:rPr>
        <w:t>（一）总体要求：</w:t>
      </w:r>
    </w:p>
    <w:p>
      <w:pPr>
        <w:spacing w:line="360" w:lineRule="auto"/>
        <w:rPr>
          <w:rFonts w:ascii="新宋体" w:hAnsi="新宋体" w:eastAsia="新宋体"/>
        </w:rPr>
      </w:pPr>
      <w:r>
        <w:rPr>
          <w:rFonts w:hint="eastAsia" w:ascii="新宋体" w:hAnsi="新宋体" w:eastAsia="新宋体"/>
        </w:rPr>
        <w:t>各投标人应按照招标公告规定的时间和地点参加现场演示。</w:t>
      </w:r>
    </w:p>
    <w:p>
      <w:pPr>
        <w:spacing w:line="360" w:lineRule="auto"/>
        <w:rPr>
          <w:rFonts w:ascii="新宋体" w:hAnsi="新宋体" w:eastAsia="新宋体"/>
        </w:rPr>
      </w:pPr>
      <w:r>
        <w:rPr>
          <w:rFonts w:hint="eastAsia" w:ascii="新宋体" w:hAnsi="新宋体" w:eastAsia="新宋体"/>
        </w:rPr>
        <w:t>演示地点提供电源、带VGA接口的液晶显示器及宽带上网环境（无WIFI环境），由投标人代表自带手提电脑、无线路由器、便携式服务器、U盘及其它能完成演示操作的设备（具体以投标人实际需要为准，但严禁携带手机等通讯工具）等进行演示。由于演示场地有限，建议勿携带过大设备进行演示。</w:t>
      </w:r>
    </w:p>
    <w:p>
      <w:pPr>
        <w:spacing w:line="360" w:lineRule="auto"/>
        <w:rPr>
          <w:rFonts w:ascii="新宋体" w:hAnsi="新宋体" w:eastAsia="新宋体"/>
        </w:rPr>
      </w:pPr>
      <w:r>
        <w:rPr>
          <w:rFonts w:hint="eastAsia" w:ascii="新宋体" w:hAnsi="新宋体" w:eastAsia="新宋体"/>
        </w:rPr>
        <w:t>每个投标人的现场演示时间不超过10分钟（演示期间评委将进行提问，并有权酌情延长时间），现场演示人员不得超过2人。</w:t>
      </w:r>
    </w:p>
    <w:p>
      <w:pPr>
        <w:spacing w:line="360" w:lineRule="auto"/>
        <w:rPr>
          <w:rFonts w:ascii="新宋体" w:hAnsi="新宋体" w:eastAsia="新宋体"/>
        </w:rPr>
      </w:pPr>
      <w:r>
        <w:rPr>
          <w:rFonts w:hint="eastAsia" w:ascii="新宋体" w:hAnsi="新宋体" w:eastAsia="新宋体"/>
        </w:rPr>
        <w:t>（二）具体程序：</w:t>
      </w:r>
    </w:p>
    <w:p>
      <w:pPr>
        <w:spacing w:line="360" w:lineRule="auto"/>
        <w:rPr>
          <w:rFonts w:ascii="新宋体" w:hAnsi="新宋体" w:eastAsia="新宋体"/>
        </w:rPr>
      </w:pPr>
      <w:r>
        <w:rPr>
          <w:rFonts w:hint="eastAsia" w:ascii="新宋体" w:hAnsi="新宋体" w:eastAsia="新宋体"/>
        </w:rPr>
        <w:t>1.现场演示人员须在招标公告规定的现场演示签到截止时间前，携带</w:t>
      </w:r>
      <w:r>
        <w:rPr>
          <w:rFonts w:hint="eastAsia" w:ascii="新宋体" w:hAnsi="新宋体" w:eastAsia="新宋体"/>
          <w:bCs/>
        </w:rPr>
        <w:t>法定代表人证明书（盖公章）、</w:t>
      </w:r>
      <w:r>
        <w:rPr>
          <w:rFonts w:hint="eastAsia" w:ascii="新宋体" w:hAnsi="新宋体" w:eastAsia="新宋体"/>
        </w:rPr>
        <w:t>授权委托书（盖公章）、现场演示人员的身份证原件和复印件，到达深圳代理机构，按工作人员指引进行签到。</w:t>
      </w:r>
    </w:p>
    <w:p>
      <w:pPr>
        <w:spacing w:line="360" w:lineRule="auto"/>
        <w:rPr>
          <w:rFonts w:ascii="新宋体" w:hAnsi="新宋体" w:eastAsia="新宋体"/>
        </w:rPr>
      </w:pPr>
      <w:r>
        <w:rPr>
          <w:rFonts w:hint="eastAsia" w:ascii="新宋体" w:hAnsi="新宋体" w:eastAsia="新宋体"/>
        </w:rPr>
        <w:t>特别注意事项：（1）资料提供不齐全的，不予签到；（2）招标公告规定的截止时间后，不再受理签到；（3）未签到的人员，不能参与现场演示。</w:t>
      </w:r>
    </w:p>
    <w:p>
      <w:pPr>
        <w:spacing w:line="360" w:lineRule="auto"/>
        <w:rPr>
          <w:rFonts w:ascii="新宋体" w:hAnsi="新宋体" w:eastAsia="新宋体"/>
        </w:rPr>
      </w:pPr>
      <w:r>
        <w:rPr>
          <w:rFonts w:hint="eastAsia" w:ascii="新宋体" w:hAnsi="新宋体" w:eastAsia="新宋体"/>
        </w:rPr>
        <w:t>2.招标公告规定的现场演示签到截止时间后正式进行现场演示。现场演示正式开始前将进行身份核对；核对内容为现场演示人员提供的“授权委托书（盖公章）、现场演示人员的身份证原件和复印件”。资料不齐全的人员，不得参与现场演示。</w:t>
      </w:r>
    </w:p>
    <w:p>
      <w:pPr>
        <w:spacing w:line="360" w:lineRule="auto"/>
        <w:rPr>
          <w:rFonts w:ascii="新宋体" w:hAnsi="新宋体" w:eastAsia="新宋体"/>
        </w:rPr>
      </w:pPr>
      <w:r>
        <w:rPr>
          <w:rFonts w:hint="eastAsia" w:ascii="新宋体" w:hAnsi="新宋体" w:eastAsia="新宋体"/>
        </w:rPr>
        <w:t>（三）其它要求：</w:t>
      </w:r>
    </w:p>
    <w:p>
      <w:pPr>
        <w:spacing w:line="360" w:lineRule="auto"/>
        <w:rPr>
          <w:rFonts w:ascii="新宋体" w:hAnsi="新宋体" w:eastAsia="新宋体"/>
        </w:rPr>
      </w:pPr>
      <w:r>
        <w:rPr>
          <w:rFonts w:hint="eastAsia" w:ascii="新宋体" w:hAnsi="新宋体" w:eastAsia="新宋体"/>
        </w:rPr>
        <w:t>1.参加本次现场演示的各投标人，视为认可本次现场演示的程序和环境能够满足现场演示基本条件，并对本现场演示方案要求内的各项规定不做事后异议，且能够严格遵守相关规定。</w:t>
      </w:r>
    </w:p>
    <w:p>
      <w:pPr>
        <w:spacing w:line="360" w:lineRule="auto"/>
        <w:rPr>
          <w:rFonts w:ascii="新宋体" w:hAnsi="新宋体" w:eastAsia="新宋体"/>
        </w:rPr>
      </w:pPr>
      <w:r>
        <w:rPr>
          <w:rFonts w:hint="eastAsia" w:ascii="新宋体" w:hAnsi="新宋体" w:eastAsia="新宋体"/>
        </w:rPr>
        <w:t>2.现场演示在正式评标环节前进行。现场演示原则上按签到顺序依次进行（经评委同意，可以酌情进行调整）。一个投标人一次性现场演示完毕。一个投标人在进行现场演示时，其他投标人不得进入现场。现场演示期间，评委可视情况现场提问。</w:t>
      </w:r>
    </w:p>
    <w:p>
      <w:pPr>
        <w:spacing w:line="360" w:lineRule="auto"/>
        <w:rPr>
          <w:rFonts w:ascii="新宋体" w:hAnsi="新宋体" w:eastAsia="新宋体"/>
        </w:rPr>
      </w:pPr>
      <w:r>
        <w:rPr>
          <w:rFonts w:hint="eastAsia" w:ascii="新宋体" w:hAnsi="新宋体" w:eastAsia="新宋体"/>
        </w:rPr>
        <w:t>3.投标人对本次现场演示条件的不确定性疑虑应在现场演示开始前做书面陈述，若疑虑不能完全消除，并认为现场演示结果仍会产生误判，则可退出现场演示。</w:t>
      </w:r>
    </w:p>
    <w:p>
      <w:pPr>
        <w:spacing w:line="360" w:lineRule="auto"/>
        <w:rPr>
          <w:rFonts w:ascii="新宋体" w:hAnsi="新宋体" w:eastAsia="新宋体"/>
        </w:rPr>
      </w:pPr>
      <w:r>
        <w:rPr>
          <w:rFonts w:hint="eastAsia" w:ascii="新宋体" w:hAnsi="新宋体" w:eastAsia="新宋体"/>
        </w:rPr>
        <w:t>4.参加本次现场演示的各投标人，视为同意承担其演示结果不确定性的风险，即同意专家以现场演示情况的判定结论。</w:t>
      </w:r>
    </w:p>
    <w:p>
      <w:pPr>
        <w:spacing w:line="360" w:lineRule="auto"/>
        <w:rPr>
          <w:rFonts w:ascii="新宋体" w:hAnsi="新宋体" w:eastAsia="新宋体"/>
        </w:rPr>
      </w:pPr>
      <w:r>
        <w:rPr>
          <w:rFonts w:hint="eastAsia" w:ascii="新宋体" w:hAnsi="新宋体" w:eastAsia="新宋体"/>
        </w:rPr>
        <w:t>5.各项费用由投标人自理、风险自负。</w:t>
      </w:r>
    </w:p>
    <w:p>
      <w:bookmarkStart w:id="75" w:name="_GoBack"/>
      <w:bookmarkEnd w:id="7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1141C"/>
    <w:multiLevelType w:val="multilevel"/>
    <w:tmpl w:val="1011141C"/>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87E5C5B"/>
    <w:multiLevelType w:val="multilevel"/>
    <w:tmpl w:val="487E5C5B"/>
    <w:lvl w:ilvl="0" w:tentative="0">
      <w:start w:val="1"/>
      <w:numFmt w:val="decimal"/>
      <w:suff w:val="space"/>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D9649A2"/>
    <w:multiLevelType w:val="multilevel"/>
    <w:tmpl w:val="4D9649A2"/>
    <w:lvl w:ilvl="0" w:tentative="0">
      <w:start w:val="1"/>
      <w:numFmt w:val="decimal"/>
      <w:suff w:val="space"/>
      <w:lvlText w:val="%1、"/>
      <w:lvlJc w:val="left"/>
      <w:pPr>
        <w:ind w:left="988"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0033F8A"/>
    <w:multiLevelType w:val="multilevel"/>
    <w:tmpl w:val="50033F8A"/>
    <w:lvl w:ilvl="0" w:tentative="0">
      <w:start w:val="1"/>
      <w:numFmt w:val="decimal"/>
      <w:lvlText w:val="%1、"/>
      <w:lvlJc w:val="left"/>
      <w:pPr>
        <w:ind w:left="982" w:hanging="4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52E26B19"/>
    <w:multiLevelType w:val="multilevel"/>
    <w:tmpl w:val="52E26B19"/>
    <w:lvl w:ilvl="0" w:tentative="0">
      <w:start w:val="1"/>
      <w:numFmt w:val="decimal"/>
      <w:suff w:val="space"/>
      <w:lvlText w:val="%1、"/>
      <w:lvlJc w:val="left"/>
      <w:pPr>
        <w:ind w:left="980" w:hanging="420"/>
      </w:pPr>
      <w:rPr>
        <w:rFonts w:hint="default"/>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5">
    <w:nsid w:val="66297446"/>
    <w:multiLevelType w:val="multilevel"/>
    <w:tmpl w:val="6629744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000000"/>
    <w:rsid w:val="633B1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6"/>
    <w:qFormat/>
    <w:uiPriority w:val="0"/>
    <w:pPr>
      <w:keepNext/>
      <w:keepLines/>
      <w:spacing w:before="280" w:after="290" w:line="376" w:lineRule="auto"/>
      <w:outlineLvl w:val="4"/>
    </w:pPr>
    <w:rPr>
      <w:b/>
      <w:sz w:val="28"/>
      <w:szCs w:val="20"/>
    </w:rPr>
  </w:style>
  <w:style w:type="paragraph" w:styleId="7">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customStyle="1" w:styleId="11">
    <w:name w:val="0000"/>
    <w:basedOn w:val="1"/>
    <w:qFormat/>
    <w:uiPriority w:val="0"/>
    <w:pPr>
      <w:spacing w:line="360" w:lineRule="auto"/>
      <w:ind w:firstLine="566" w:firstLineChars="202"/>
    </w:pPr>
    <w:rPr>
      <w:rFonts w:ascii="仿宋" w:hAnsi="仿宋" w:eastAsia="仿宋" w:cs="Calibri"/>
      <w:color w:val="000000"/>
      <w:sz w:val="28"/>
      <w:szCs w:val="28"/>
    </w:rPr>
  </w:style>
  <w:style w:type="paragraph" w:customStyle="1" w:styleId="12">
    <w:name w:val="正文（自建）"/>
    <w:basedOn w:val="1"/>
    <w:qFormat/>
    <w:uiPriority w:val="0"/>
    <w:pPr>
      <w:adjustRightInd w:val="0"/>
      <w:snapToGrid w:val="0"/>
      <w:spacing w:line="360" w:lineRule="auto"/>
      <w:ind w:firstLine="560" w:firstLineChars="200"/>
    </w:pPr>
    <w:rPr>
      <w:rFonts w:ascii="宋体" w:hAnsi="宋体"/>
      <w:sz w:val="28"/>
      <w:szCs w:val="28"/>
      <w:lang w:val="en-GB"/>
    </w:rPr>
  </w:style>
  <w:style w:type="paragraph" w:customStyle="1" w:styleId="13">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1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2022-06-20T05:31:33Z</dcterms:created>
  <dc:creator>WF</dc:creator>
  <cp:lastModifiedBy>WF</cp:lastModifiedBy>
  <dcterms:modified xsi:type="dcterms:W3CDTF">2022-06-20T05:31:38Z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4C023048F839412F8EFFD41A343A9E7E</vt:lpwstr>
  </property>
</Properties>
</file>