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新宋体" w:hAnsi="新宋体" w:eastAsia="新宋体"/>
        </w:rPr>
      </w:pPr>
      <w:bookmarkStart w:id="0" w:name="_Toc76031641"/>
      <w:r>
        <w:rPr>
          <w:rFonts w:hint="eastAsia" w:ascii="新宋体" w:hAnsi="新宋体" w:eastAsia="新宋体"/>
        </w:rPr>
        <w:t>第二部分　技术部分</w:t>
      </w:r>
      <w:bookmarkEnd w:id="0"/>
    </w:p>
    <w:p>
      <w:pPr>
        <w:pStyle w:val="2"/>
        <w:jc w:val="center"/>
        <w:rPr>
          <w:rFonts w:ascii="新宋体" w:hAnsi="新宋体" w:eastAsia="新宋体"/>
        </w:rPr>
      </w:pPr>
      <w:bookmarkStart w:id="1" w:name="_Toc76031642"/>
      <w:r>
        <w:rPr>
          <w:rFonts w:hint="eastAsia" w:ascii="新宋体" w:hAnsi="新宋体" w:eastAsia="新宋体"/>
        </w:rPr>
        <w:t>第六章　项目采购需求</w:t>
      </w:r>
      <w:bookmarkEnd w:id="1"/>
    </w:p>
    <w:p>
      <w:pPr>
        <w:pStyle w:val="4"/>
        <w:jc w:val="center"/>
        <w:rPr>
          <w:rFonts w:ascii="新宋体" w:hAnsi="新宋体" w:eastAsia="新宋体"/>
          <w:sz w:val="24"/>
          <w:szCs w:val="24"/>
        </w:rPr>
      </w:pPr>
      <w:bookmarkStart w:id="2" w:name="_Toc76031643"/>
      <w:r>
        <w:rPr>
          <w:rFonts w:hint="eastAsia" w:ascii="新宋体" w:hAnsi="新宋体" w:eastAsia="新宋体"/>
          <w:sz w:val="24"/>
          <w:szCs w:val="24"/>
        </w:rPr>
        <w:t>第一节 项目概述</w:t>
      </w:r>
      <w:bookmarkEnd w:id="2"/>
    </w:p>
    <w:p>
      <w:pPr>
        <w:rPr>
          <w:b/>
          <w:bCs/>
        </w:rPr>
      </w:pPr>
      <w:r>
        <w:rPr>
          <w:rFonts w:hint="eastAsia"/>
          <w:b/>
          <w:bCs/>
        </w:rPr>
        <w:t>一、服务清单</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685"/>
        <w:gridCol w:w="851"/>
        <w:gridCol w:w="850"/>
        <w:gridCol w:w="2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noWrap w:val="0"/>
            <w:vAlign w:val="center"/>
          </w:tcPr>
          <w:p>
            <w:r>
              <w:rPr>
                <w:rFonts w:hint="eastAsia"/>
              </w:rPr>
              <w:t>序号</w:t>
            </w:r>
          </w:p>
        </w:tc>
        <w:tc>
          <w:tcPr>
            <w:tcW w:w="3685" w:type="dxa"/>
            <w:noWrap w:val="0"/>
            <w:vAlign w:val="center"/>
          </w:tcPr>
          <w:p>
            <w:r>
              <w:rPr>
                <w:rFonts w:hint="eastAsia"/>
              </w:rPr>
              <w:t>名称</w:t>
            </w:r>
          </w:p>
        </w:tc>
        <w:tc>
          <w:tcPr>
            <w:tcW w:w="851" w:type="dxa"/>
            <w:noWrap w:val="0"/>
            <w:vAlign w:val="center"/>
          </w:tcPr>
          <w:p>
            <w:r>
              <w:rPr>
                <w:rFonts w:hint="eastAsia"/>
              </w:rPr>
              <w:t>单位</w:t>
            </w:r>
          </w:p>
        </w:tc>
        <w:tc>
          <w:tcPr>
            <w:tcW w:w="850" w:type="dxa"/>
            <w:noWrap w:val="0"/>
            <w:vAlign w:val="center"/>
          </w:tcPr>
          <w:p>
            <w:r>
              <w:rPr>
                <w:rFonts w:hint="eastAsia"/>
              </w:rPr>
              <w:t>数量</w:t>
            </w:r>
          </w:p>
        </w:tc>
        <w:tc>
          <w:tcPr>
            <w:tcW w:w="2833" w:type="dxa"/>
            <w:noWrap w:val="0"/>
            <w:vAlign w:val="center"/>
          </w:tcPr>
          <w:p>
            <w:r>
              <w:rPr>
                <w:rFonts w:hint="eastAsia"/>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r>
              <w:rPr>
                <w:rFonts w:hint="eastAsia"/>
              </w:rPr>
              <w:t>1</w:t>
            </w:r>
          </w:p>
        </w:tc>
        <w:tc>
          <w:tcPr>
            <w:tcW w:w="3685" w:type="dxa"/>
            <w:noWrap w:val="0"/>
            <w:vAlign w:val="center"/>
          </w:tcPr>
          <w:p>
            <w:pPr>
              <w:rPr>
                <w:rFonts w:hint="eastAsia"/>
                <w:lang w:val="en-US" w:eastAsia="zh-CN"/>
              </w:rPr>
            </w:pPr>
            <w:r>
              <w:rPr>
                <w:rFonts w:hint="eastAsia"/>
              </w:rPr>
              <w:t>政务办公系统（深圳海关）智慧纪检应用支持服务项目</w:t>
            </w:r>
          </w:p>
        </w:tc>
        <w:tc>
          <w:tcPr>
            <w:tcW w:w="851" w:type="dxa"/>
            <w:noWrap w:val="0"/>
            <w:vAlign w:val="center"/>
          </w:tcPr>
          <w:p>
            <w:r>
              <w:rPr>
                <w:rFonts w:hint="eastAsia"/>
              </w:rPr>
              <w:t>项</w:t>
            </w:r>
          </w:p>
        </w:tc>
        <w:tc>
          <w:tcPr>
            <w:tcW w:w="850" w:type="dxa"/>
            <w:noWrap w:val="0"/>
            <w:vAlign w:val="center"/>
          </w:tcPr>
          <w:p>
            <w:r>
              <w:rPr>
                <w:rFonts w:hint="eastAsia"/>
              </w:rPr>
              <w:t>1</w:t>
            </w:r>
          </w:p>
        </w:tc>
        <w:tc>
          <w:tcPr>
            <w:tcW w:w="2833" w:type="dxa"/>
            <w:noWrap w:val="0"/>
            <w:vAlign w:val="center"/>
          </w:tcPr>
          <w:p>
            <w:r>
              <w:rPr>
                <w:rFonts w:hint="eastAsia"/>
              </w:rPr>
              <w:t>人民币贰拾玖万元整（¥290,000.00）</w:t>
            </w:r>
          </w:p>
        </w:tc>
      </w:tr>
    </w:tbl>
    <w:p>
      <w:pPr>
        <w:pStyle w:val="5"/>
        <w:spacing w:line="360" w:lineRule="auto"/>
        <w:jc w:val="left"/>
        <w:rPr>
          <w:rFonts w:hint="eastAsia"/>
        </w:rPr>
      </w:pPr>
      <w:r>
        <w:rPr>
          <w:rFonts w:hint="eastAsia" w:ascii="新宋体" w:hAnsi="新宋体" w:eastAsia="新宋体"/>
          <w:bCs w:val="0"/>
          <w:sz w:val="24"/>
          <w:szCs w:val="24"/>
        </w:rPr>
        <w:t>二、项目简介</w:t>
      </w:r>
      <w:r>
        <w:rPr>
          <w:rFonts w:hint="eastAsia" w:ascii="新宋体" w:hAnsi="新宋体" w:eastAsia="新宋体"/>
          <w:bCs w:val="0"/>
          <w:sz w:val="24"/>
          <w:szCs w:val="24"/>
        </w:rPr>
        <w:br w:type="textWrapping"/>
      </w:r>
      <w:r>
        <w:rPr>
          <w:rFonts w:hint="eastAsia" w:ascii="新宋体" w:hAnsi="新宋体" w:eastAsia="新宋体"/>
          <w:b w:val="0"/>
          <w:sz w:val="24"/>
          <w:szCs w:val="24"/>
        </w:rPr>
        <w:t>政务办公系统（深圳海关）智慧纪检应用从信访举报、执纪问责、监督预警、群众监督、信息公开以及办公自动化等方面，为纪检</w:t>
      </w:r>
      <w:bookmarkStart w:id="91" w:name="_GoBack"/>
      <w:bookmarkEnd w:id="91"/>
      <w:r>
        <w:rPr>
          <w:rFonts w:hint="eastAsia" w:ascii="新宋体" w:hAnsi="新宋体" w:eastAsia="新宋体"/>
          <w:b w:val="0"/>
          <w:sz w:val="24"/>
          <w:szCs w:val="24"/>
        </w:rPr>
        <w:t>工作提供具体抓手，在精准锁定线索、发现问题、研判风险等方面发挥了重要作用，取得了较好的成绩，推动深圳海关纪检工作高质量发展，为深圳海关建设“现代化强关”和“清廉海关”提供坚强保障。</w:t>
      </w:r>
      <w:r>
        <w:rPr>
          <w:rFonts w:hint="eastAsia" w:ascii="新宋体" w:hAnsi="新宋体" w:eastAsia="新宋体"/>
          <w:bCs w:val="0"/>
          <w:sz w:val="24"/>
          <w:szCs w:val="24"/>
        </w:rPr>
        <w:br w:type="textWrapping"/>
      </w:r>
      <w:r>
        <w:rPr>
          <w:rFonts w:hint="eastAsia" w:ascii="新宋体" w:hAnsi="新宋体" w:eastAsia="新宋体"/>
          <w:bCs w:val="0"/>
          <w:sz w:val="24"/>
          <w:szCs w:val="24"/>
        </w:rPr>
        <w:t xml:space="preserve">  </w:t>
      </w:r>
      <w:r>
        <w:rPr>
          <w:rFonts w:hint="eastAsia" w:ascii="新宋体" w:hAnsi="新宋体" w:eastAsia="新宋体"/>
          <w:b w:val="0"/>
          <w:sz w:val="24"/>
          <w:szCs w:val="24"/>
        </w:rPr>
        <w:t>为保证该系统的正常稳定运行，保障系统对于相关系统数据传输需求的技术维护工作及时完成，拟采购由第三方专业软件维护公司提供的技术团队驻场服务，负责数据传输中间件的开发、日常巡检、故障处理、维护配置、联调测试、系统管理等相关工作。</w:t>
      </w:r>
    </w:p>
    <w:p>
      <w:pPr>
        <w:pStyle w:val="5"/>
        <w:spacing w:line="360" w:lineRule="auto"/>
        <w:jc w:val="center"/>
        <w:rPr>
          <w:rFonts w:ascii="新宋体" w:hAnsi="新宋体" w:eastAsia="新宋体"/>
          <w:sz w:val="24"/>
          <w:szCs w:val="24"/>
        </w:rPr>
      </w:pPr>
      <w:bookmarkStart w:id="3" w:name="_Toc76031644"/>
      <w:r>
        <w:rPr>
          <w:rFonts w:hint="eastAsia" w:ascii="新宋体" w:hAnsi="新宋体" w:eastAsia="新宋体"/>
          <w:b w:val="0"/>
          <w:sz w:val="24"/>
          <w:szCs w:val="24"/>
        </w:rPr>
        <w:br w:type="textWrapping"/>
      </w:r>
      <w:r>
        <w:rPr>
          <w:rFonts w:hint="eastAsia" w:ascii="新宋体" w:hAnsi="新宋体" w:eastAsia="新宋体"/>
          <w:sz w:val="24"/>
          <w:szCs w:val="24"/>
        </w:rPr>
        <w:t>第二节 商务需求</w:t>
      </w:r>
      <w:bookmarkEnd w:id="3"/>
    </w:p>
    <w:p>
      <w:pPr>
        <w:pStyle w:val="5"/>
        <w:spacing w:line="360" w:lineRule="auto"/>
        <w:rPr>
          <w:rFonts w:hint="eastAsia" w:ascii="新宋体" w:hAnsi="新宋体" w:eastAsia="新宋体"/>
          <w:b w:val="0"/>
          <w:bCs w:val="0"/>
          <w:sz w:val="24"/>
          <w:szCs w:val="24"/>
        </w:rPr>
      </w:pPr>
      <w:r>
        <w:rPr>
          <w:rFonts w:hint="eastAsia" w:ascii="新宋体" w:hAnsi="新宋体" w:eastAsia="新宋体"/>
          <w:sz w:val="24"/>
          <w:szCs w:val="24"/>
        </w:rPr>
        <w:t>一、服务期：</w:t>
      </w:r>
      <w:r>
        <w:rPr>
          <w:rFonts w:hint="eastAsia" w:ascii="新宋体" w:hAnsi="新宋体" w:eastAsia="新宋体"/>
          <w:b w:val="0"/>
          <w:bCs w:val="0"/>
          <w:sz w:val="24"/>
          <w:szCs w:val="24"/>
        </w:rPr>
        <w:t>自合同签订起一年。</w:t>
      </w:r>
    </w:p>
    <w:p>
      <w:pPr>
        <w:pStyle w:val="5"/>
        <w:spacing w:line="360" w:lineRule="auto"/>
        <w:rPr>
          <w:rFonts w:hint="eastAsia" w:ascii="新宋体" w:hAnsi="新宋体" w:eastAsia="新宋体"/>
          <w:sz w:val="24"/>
          <w:szCs w:val="24"/>
        </w:rPr>
      </w:pPr>
      <w:r>
        <w:rPr>
          <w:rFonts w:hint="eastAsia" w:ascii="新宋体" w:hAnsi="新宋体" w:eastAsia="新宋体"/>
          <w:sz w:val="24"/>
          <w:szCs w:val="24"/>
        </w:rPr>
        <w:t>二、项目实施地点：</w:t>
      </w:r>
      <w:r>
        <w:rPr>
          <w:rFonts w:hint="eastAsia" w:ascii="新宋体" w:hAnsi="新宋体" w:eastAsia="新宋体"/>
          <w:b w:val="0"/>
          <w:bCs w:val="0"/>
          <w:sz w:val="24"/>
          <w:szCs w:val="24"/>
        </w:rPr>
        <w:t>深圳海关指定地点。</w:t>
      </w:r>
    </w:p>
    <w:p>
      <w:pPr>
        <w:pStyle w:val="5"/>
        <w:spacing w:line="360" w:lineRule="auto"/>
        <w:rPr>
          <w:rFonts w:ascii="新宋体" w:hAnsi="新宋体" w:eastAsia="新宋体"/>
          <w:sz w:val="24"/>
          <w:szCs w:val="24"/>
        </w:rPr>
      </w:pPr>
      <w:r>
        <w:rPr>
          <w:rFonts w:hint="eastAsia" w:ascii="新宋体" w:hAnsi="新宋体" w:eastAsia="新宋体"/>
          <w:sz w:val="24"/>
          <w:szCs w:val="24"/>
        </w:rPr>
        <w:t>三、</w:t>
      </w:r>
      <w:r>
        <w:rPr>
          <w:rFonts w:ascii="新宋体" w:hAnsi="新宋体" w:eastAsia="新宋体"/>
          <w:sz w:val="24"/>
          <w:szCs w:val="24"/>
        </w:rPr>
        <w:t>服务方式：</w:t>
      </w:r>
      <w:r>
        <w:rPr>
          <w:rFonts w:ascii="新宋体" w:hAnsi="新宋体" w:eastAsia="新宋体"/>
          <w:b w:val="0"/>
          <w:bCs w:val="0"/>
          <w:sz w:val="24"/>
          <w:szCs w:val="24"/>
        </w:rPr>
        <w:t>本地化驻场服务。</w:t>
      </w:r>
    </w:p>
    <w:p>
      <w:pPr>
        <w:pStyle w:val="5"/>
        <w:spacing w:line="360" w:lineRule="auto"/>
        <w:rPr>
          <w:rFonts w:ascii="新宋体" w:hAnsi="新宋体" w:eastAsia="新宋体"/>
          <w:sz w:val="24"/>
          <w:szCs w:val="24"/>
        </w:rPr>
      </w:pPr>
      <w:r>
        <w:rPr>
          <w:rFonts w:hint="eastAsia" w:ascii="新宋体" w:hAnsi="新宋体" w:eastAsia="新宋体"/>
          <w:sz w:val="24"/>
          <w:szCs w:val="24"/>
        </w:rPr>
        <w:t>四、服务质量要求：</w:t>
      </w:r>
      <w:r>
        <w:rPr>
          <w:rFonts w:hint="eastAsia" w:ascii="新宋体" w:hAnsi="新宋体" w:eastAsia="新宋体"/>
          <w:b w:val="0"/>
          <w:bCs w:val="0"/>
          <w:sz w:val="24"/>
          <w:szCs w:val="24"/>
        </w:rPr>
        <w:t>实现合同及招标文件规定的各项要求，并达到验收合格标准。</w:t>
      </w:r>
    </w:p>
    <w:p>
      <w:pPr>
        <w:spacing w:line="360" w:lineRule="auto"/>
        <w:rPr>
          <w:rFonts w:hint="eastAsia" w:ascii="新宋体" w:hAnsi="新宋体" w:eastAsia="新宋体"/>
          <w:b/>
          <w:bCs/>
          <w:sz w:val="24"/>
        </w:rPr>
      </w:pPr>
      <w:r>
        <w:rPr>
          <w:rFonts w:hint="eastAsia" w:ascii="新宋体" w:hAnsi="新宋体" w:eastAsia="新宋体"/>
          <w:b/>
          <w:bCs/>
          <w:sz w:val="24"/>
          <w:szCs w:val="24"/>
        </w:rPr>
        <w:t>五、</w:t>
      </w:r>
      <w:r>
        <w:rPr>
          <w:rFonts w:hint="eastAsia" w:ascii="新宋体" w:hAnsi="新宋体" w:eastAsia="新宋体"/>
          <w:b/>
          <w:bCs/>
          <w:sz w:val="24"/>
        </w:rPr>
        <w:t>风险管理措施</w:t>
      </w:r>
    </w:p>
    <w:p>
      <w:pPr>
        <w:spacing w:line="360" w:lineRule="auto"/>
        <w:rPr>
          <w:rFonts w:ascii="新宋体" w:hAnsi="新宋体" w:eastAsia="新宋体" w:cs="新宋体"/>
          <w:sz w:val="24"/>
          <w:szCs w:val="24"/>
        </w:rPr>
      </w:pPr>
      <w:r>
        <w:rPr>
          <w:rFonts w:hint="eastAsia" w:ascii="新宋体" w:hAnsi="新宋体" w:eastAsia="新宋体"/>
          <w:sz w:val="24"/>
        </w:rPr>
        <w:t>如因国家相关政策发生变化，应以最新的国家相关政策为准并进行执行，如因国家相关政策发生变化而导致本次项目的合同无法继续执行，采购人不承担任何责任，投标人自行承担由此带来的任何风险及后果。</w:t>
      </w:r>
    </w:p>
    <w:p>
      <w:pPr>
        <w:widowControl/>
        <w:spacing w:line="360" w:lineRule="auto"/>
        <w:rPr>
          <w:rFonts w:hint="eastAsia" w:ascii="新宋体" w:hAnsi="新宋体" w:eastAsia="新宋体" w:cs="新宋体"/>
          <w:sz w:val="24"/>
          <w:szCs w:val="24"/>
        </w:rPr>
      </w:pPr>
    </w:p>
    <w:p>
      <w:pPr>
        <w:pStyle w:val="4"/>
        <w:spacing w:line="360" w:lineRule="auto"/>
        <w:jc w:val="center"/>
        <w:rPr>
          <w:rFonts w:ascii="新宋体" w:hAnsi="新宋体" w:eastAsia="新宋体"/>
          <w:sz w:val="24"/>
          <w:szCs w:val="24"/>
        </w:rPr>
      </w:pPr>
      <w:bookmarkStart w:id="4" w:name="_Toc76031645"/>
      <w:r>
        <w:rPr>
          <w:rFonts w:hint="eastAsia" w:ascii="新宋体" w:hAnsi="新宋体" w:eastAsia="新宋体"/>
          <w:sz w:val="24"/>
          <w:szCs w:val="24"/>
        </w:rPr>
        <w:t>第三节 技术需求</w:t>
      </w:r>
      <w:bookmarkEnd w:id="4"/>
    </w:p>
    <w:p>
      <w:pPr>
        <w:spacing w:line="360" w:lineRule="auto"/>
        <w:ind w:firstLine="241" w:firstLineChars="100"/>
        <w:rPr>
          <w:rFonts w:hint="eastAsia" w:ascii="新宋体" w:hAnsi="新宋体" w:eastAsia="新宋体"/>
          <w:b/>
          <w:bCs/>
          <w:sz w:val="24"/>
          <w:szCs w:val="24"/>
        </w:rPr>
      </w:pPr>
      <w:bookmarkStart w:id="5" w:name="_Toc456918193"/>
      <w:bookmarkStart w:id="6" w:name="_Toc27246"/>
      <w:bookmarkStart w:id="7" w:name="_Toc23260136"/>
      <w:bookmarkStart w:id="8" w:name="_Toc6992"/>
      <w:bookmarkStart w:id="9" w:name="_Toc19952748"/>
      <w:bookmarkStart w:id="10" w:name="_Toc23173835"/>
      <w:bookmarkStart w:id="11" w:name="_Toc9657"/>
      <w:bookmarkStart w:id="12" w:name="_Toc19952610"/>
      <w:bookmarkStart w:id="13" w:name="_Toc12383_WPSOffice_Level1"/>
      <w:bookmarkStart w:id="14" w:name="_Toc25121"/>
      <w:bookmarkStart w:id="15" w:name="_Toc20054648"/>
      <w:bookmarkStart w:id="16" w:name="_Toc456922474"/>
      <w:bookmarkStart w:id="17" w:name="_Toc12433"/>
      <w:bookmarkStart w:id="18" w:name="_Toc28207"/>
      <w:bookmarkStart w:id="19" w:name="_Toc21301483"/>
      <w:bookmarkStart w:id="20" w:name="_Toc17991"/>
      <w:r>
        <w:rPr>
          <w:rFonts w:hint="eastAsia" w:ascii="新宋体" w:hAnsi="新宋体" w:eastAsia="新宋体"/>
          <w:b/>
          <w:bCs/>
          <w:sz w:val="24"/>
          <w:szCs w:val="24"/>
        </w:rPr>
        <w:t>一、支持服务需求</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新宋体" w:hAnsi="新宋体" w:eastAsia="新宋体"/>
          <w:b/>
          <w:bCs/>
          <w:sz w:val="24"/>
          <w:szCs w:val="24"/>
        </w:rPr>
        <w:tab/>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本项目中的支持服务是指在系统建成后对系统正常运行和售后服务提供技术支撑的人员和技术规范的总称。</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项目要求为政务办公系统（深圳海关）智慧纪检应用项目提供7*24小时不间断的客户现场服务，软件系统遇到任何故障，在收到采购人和项目用户单位的请求后十分钟内做出响应，4小时内完成故障处理。</w:t>
      </w:r>
    </w:p>
    <w:p>
      <w:pPr>
        <w:spacing w:line="360" w:lineRule="auto"/>
        <w:ind w:firstLine="241" w:firstLineChars="100"/>
        <w:rPr>
          <w:rFonts w:hint="eastAsia" w:ascii="新宋体" w:hAnsi="新宋体" w:eastAsia="新宋体"/>
          <w:b/>
          <w:bCs/>
          <w:sz w:val="24"/>
          <w:szCs w:val="24"/>
        </w:rPr>
      </w:pPr>
      <w:bookmarkStart w:id="21" w:name="_Toc21301485"/>
      <w:bookmarkStart w:id="22" w:name="_Toc456918195"/>
      <w:bookmarkStart w:id="23" w:name="_Toc456922476"/>
      <w:bookmarkStart w:id="24" w:name="_Toc19952612"/>
      <w:bookmarkStart w:id="25" w:name="_Toc26595"/>
      <w:bookmarkStart w:id="26" w:name="_Toc23646"/>
      <w:bookmarkStart w:id="27" w:name="_Toc23173836"/>
      <w:bookmarkStart w:id="28" w:name="_Toc32061"/>
      <w:bookmarkStart w:id="29" w:name="_Toc7664"/>
      <w:bookmarkStart w:id="30" w:name="_Toc21481"/>
      <w:bookmarkStart w:id="31" w:name="_Toc23260137"/>
      <w:bookmarkStart w:id="32" w:name="_Toc9933_WPSOffice_Level3"/>
      <w:bookmarkStart w:id="33" w:name="_Toc19952750"/>
      <w:bookmarkStart w:id="34" w:name="_Toc9611"/>
      <w:r>
        <w:rPr>
          <w:rFonts w:hint="eastAsia" w:ascii="新宋体" w:hAnsi="新宋体" w:eastAsia="新宋体"/>
          <w:b/>
          <w:bCs/>
          <w:sz w:val="24"/>
          <w:szCs w:val="24"/>
        </w:rPr>
        <w:t>二、日常巡检服务需求</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定期检测应用软件和接口，发现故障，排除隐患，提出改进意见。系统所有硬件设备的日常巡检，发现故障，配合排除故障。不断完善重要监测点的实时监控机制。高度重视巡检过程中发现的异常情况，查找原因，排除故障隐患。</w:t>
      </w:r>
    </w:p>
    <w:p>
      <w:pPr>
        <w:spacing w:line="360" w:lineRule="auto"/>
        <w:ind w:firstLine="241" w:firstLineChars="100"/>
        <w:rPr>
          <w:rFonts w:hint="eastAsia" w:ascii="新宋体" w:hAnsi="新宋体" w:eastAsia="新宋体"/>
          <w:b/>
          <w:bCs/>
          <w:sz w:val="24"/>
          <w:szCs w:val="24"/>
        </w:rPr>
      </w:pPr>
      <w:bookmarkStart w:id="35" w:name="_Toc1418"/>
      <w:bookmarkStart w:id="36" w:name="_Toc3235"/>
      <w:bookmarkStart w:id="37" w:name="_Toc14737"/>
      <w:bookmarkStart w:id="38" w:name="_Toc26226"/>
      <w:bookmarkStart w:id="39" w:name="_Toc19952751"/>
      <w:bookmarkStart w:id="40" w:name="_Toc23260138"/>
      <w:bookmarkStart w:id="41" w:name="_Toc5777_WPSOffice_Level3"/>
      <w:bookmarkStart w:id="42" w:name="_Toc456922477"/>
      <w:bookmarkStart w:id="43" w:name="_Toc21301486"/>
      <w:bookmarkStart w:id="44" w:name="_Toc456918196"/>
      <w:bookmarkStart w:id="45" w:name="_Toc23173837"/>
      <w:bookmarkStart w:id="46" w:name="_Toc13292"/>
      <w:bookmarkStart w:id="47" w:name="_Toc6248"/>
      <w:bookmarkStart w:id="48" w:name="_Toc19952613"/>
      <w:r>
        <w:rPr>
          <w:rFonts w:hint="eastAsia" w:ascii="新宋体" w:hAnsi="新宋体" w:eastAsia="新宋体"/>
          <w:b/>
          <w:bCs/>
          <w:sz w:val="24"/>
          <w:szCs w:val="24"/>
        </w:rPr>
        <w:t>三、故障处理服务需求</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提供7×24的故障处理服务，以书面函件形式通知采购方24小时投诉电话号码、邮箱地址等信息。故障原则上由现场维护人员进行处理，对于影响重大的故障，为提高故障处理速度可以由资深工程师远程处理。根据采购方对于一般故障、严重故障和重大故障的处理流程和要求进行故障处理，一般故障在10分钟内解决；严重故障和重大故障应在30分钟内解决，故障持续时间超过60分钟，安排高级工程师到现场处理。</w:t>
      </w:r>
    </w:p>
    <w:p>
      <w:pPr>
        <w:spacing w:line="360" w:lineRule="auto"/>
        <w:ind w:firstLine="241" w:firstLineChars="100"/>
        <w:rPr>
          <w:rFonts w:hint="eastAsia" w:ascii="新宋体" w:hAnsi="新宋体" w:eastAsia="新宋体"/>
          <w:b/>
          <w:bCs/>
          <w:sz w:val="24"/>
          <w:szCs w:val="24"/>
        </w:rPr>
      </w:pPr>
      <w:bookmarkStart w:id="49" w:name="_Toc24252"/>
      <w:bookmarkStart w:id="50" w:name="_Toc456922478"/>
      <w:bookmarkStart w:id="51" w:name="_Toc21301487"/>
      <w:bookmarkStart w:id="52" w:name="_Toc23173838"/>
      <w:bookmarkStart w:id="53" w:name="_Toc19952614"/>
      <w:bookmarkStart w:id="54" w:name="_Toc27418_WPSOffice_Level3"/>
      <w:bookmarkStart w:id="55" w:name="_Toc456918197"/>
      <w:bookmarkStart w:id="56" w:name="_Toc8353"/>
      <w:bookmarkStart w:id="57" w:name="_Toc25859"/>
      <w:bookmarkStart w:id="58" w:name="_Toc19952752"/>
      <w:bookmarkStart w:id="59" w:name="_Toc27658"/>
      <w:bookmarkStart w:id="60" w:name="_Toc22424"/>
      <w:bookmarkStart w:id="61" w:name="_Toc7087"/>
      <w:bookmarkStart w:id="62" w:name="_Toc23260139"/>
      <w:r>
        <w:rPr>
          <w:rFonts w:hint="eastAsia" w:ascii="新宋体" w:hAnsi="新宋体" w:eastAsia="新宋体"/>
          <w:b/>
          <w:bCs/>
          <w:sz w:val="24"/>
          <w:szCs w:val="24"/>
        </w:rPr>
        <w:t>四、可用性支持服务需求</w:t>
      </w:r>
      <w:bookmarkEnd w:id="49"/>
      <w:bookmarkEnd w:id="50"/>
      <w:bookmarkEnd w:id="51"/>
      <w:bookmarkEnd w:id="52"/>
      <w:bookmarkEnd w:id="53"/>
      <w:bookmarkEnd w:id="54"/>
      <w:bookmarkEnd w:id="55"/>
      <w:bookmarkEnd w:id="56"/>
      <w:bookmarkEnd w:id="57"/>
      <w:bookmarkEnd w:id="58"/>
      <w:bookmarkEnd w:id="59"/>
      <w:bookmarkEnd w:id="60"/>
      <w:bookmarkEnd w:id="61"/>
      <w:bookmarkEnd w:id="62"/>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根据采购方的安排，协助采购方管理人员进行设备巡检，协助采购方对原厂家的设备更换方案进行审核。对需要更换、调整的硬件设备对系统可能产生的影响进行充分的预计，并根据具体情况提出建议方案供采购方参考。在设备更换过程中，密切配合采购方管理人员进行应用系统的启停或冗余切换，在更换完硬件后，协助采购方进行恢复性测试。</w:t>
      </w:r>
    </w:p>
    <w:p>
      <w:pPr>
        <w:spacing w:line="360" w:lineRule="auto"/>
        <w:ind w:firstLine="241" w:firstLineChars="100"/>
        <w:rPr>
          <w:rFonts w:hint="eastAsia" w:ascii="新宋体" w:hAnsi="新宋体" w:eastAsia="新宋体"/>
          <w:b/>
          <w:bCs/>
          <w:sz w:val="24"/>
          <w:szCs w:val="24"/>
        </w:rPr>
      </w:pPr>
      <w:bookmarkStart w:id="63" w:name="_Toc23260140"/>
      <w:bookmarkStart w:id="64" w:name="_Toc19952615"/>
      <w:bookmarkStart w:id="65" w:name="_Toc19952753"/>
      <w:bookmarkStart w:id="66" w:name="_Toc6579"/>
      <w:bookmarkStart w:id="67" w:name="_Toc21301488"/>
      <w:bookmarkStart w:id="68" w:name="_Toc26997_WPSOffice_Level3"/>
      <w:bookmarkStart w:id="69" w:name="_Toc18929"/>
      <w:bookmarkStart w:id="70" w:name="_Toc13765"/>
      <w:bookmarkStart w:id="71" w:name="_Toc456922479"/>
      <w:bookmarkStart w:id="72" w:name="_Toc9113"/>
      <w:bookmarkStart w:id="73" w:name="_Toc23173839"/>
      <w:bookmarkStart w:id="74" w:name="_Toc456918198"/>
      <w:bookmarkStart w:id="75" w:name="_Toc3773"/>
      <w:bookmarkStart w:id="76" w:name="_Toc16660"/>
      <w:r>
        <w:rPr>
          <w:rFonts w:hint="eastAsia" w:ascii="新宋体" w:hAnsi="新宋体" w:eastAsia="新宋体"/>
          <w:b/>
          <w:bCs/>
          <w:sz w:val="24"/>
          <w:szCs w:val="24"/>
        </w:rPr>
        <w:t>五、性能优化服务需求</w:t>
      </w:r>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对平台支持服务中出现的性能下降、故障频繁等异常现象高度敏感，积极主动进行原因分析，向采购方提出合理解决方案建议，并配合进行实施。协助采购方对基础环境进行网络、主机、存储、数据库优化工作，负责定期进行平台软件优化工作，包括工作内容包括：对平台的运行情况进行监控，对平台的性能进行分析，指出可能引起性能问题的应用软件及其原因；结合业务发展情况，分析业务变化对应用功能的影响，向采购方提出合理的优化建议；根据长期维护经验，指出应用功能可以改善、提高性能的地方，向采购方提出合理的优化建议。</w:t>
      </w:r>
    </w:p>
    <w:p>
      <w:pPr>
        <w:spacing w:line="360" w:lineRule="auto"/>
        <w:ind w:firstLine="241" w:firstLineChars="100"/>
        <w:rPr>
          <w:rFonts w:hint="eastAsia" w:ascii="新宋体" w:hAnsi="新宋体" w:eastAsia="新宋体"/>
          <w:b/>
          <w:bCs/>
          <w:sz w:val="24"/>
          <w:szCs w:val="24"/>
        </w:rPr>
      </w:pPr>
      <w:bookmarkStart w:id="77" w:name="_Toc19623"/>
      <w:bookmarkStart w:id="78" w:name="_Toc9417"/>
      <w:bookmarkStart w:id="79" w:name="_Toc21301489"/>
      <w:bookmarkStart w:id="80" w:name="_Toc13014"/>
      <w:bookmarkStart w:id="81" w:name="_Toc19952754"/>
      <w:bookmarkStart w:id="82" w:name="_Toc22957"/>
      <w:bookmarkStart w:id="83" w:name="_Toc15412"/>
      <w:bookmarkStart w:id="84" w:name="_Toc456918199"/>
      <w:bookmarkStart w:id="85" w:name="_Toc23173840"/>
      <w:bookmarkStart w:id="86" w:name="_Toc31903"/>
      <w:bookmarkStart w:id="87" w:name="_Toc1073_WPSOffice_Level3"/>
      <w:bookmarkStart w:id="88" w:name="_Toc19952616"/>
      <w:bookmarkStart w:id="89" w:name="_Toc456922480"/>
      <w:bookmarkStart w:id="90" w:name="_Toc23260141"/>
      <w:r>
        <w:rPr>
          <w:rFonts w:hint="eastAsia" w:ascii="新宋体" w:hAnsi="新宋体" w:eastAsia="新宋体"/>
          <w:b/>
          <w:bCs/>
          <w:sz w:val="24"/>
          <w:szCs w:val="24"/>
        </w:rPr>
        <w:t>六、维护考核需求</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按照采购方相关技术业务规范、业务需求、相关指标要求，向采购方提出系统建设、维护、产品等的设计方案和建议。建立应用开发功能安全检查的制度，定期对应用开发功能及监控软件进行定期的检查和分析，并向采购方提交检查报告，保证系统安全正常的运行，并提出应用开发功能运行优化建议。针对应用开发功能相关的各种系统补丁升级信息，提前通知采购方并且对升级的可行性和必要性进行论证，保证系统安全可靠的运行。</w:t>
      </w:r>
    </w:p>
    <w:p>
      <w:pPr>
        <w:spacing w:line="360" w:lineRule="auto"/>
        <w:ind w:firstLine="240" w:firstLineChars="100"/>
        <w:rPr>
          <w:rFonts w:hint="eastAsia" w:ascii="新宋体" w:hAnsi="新宋体" w:eastAsia="新宋体"/>
          <w:b/>
          <w:bCs/>
          <w:sz w:val="24"/>
          <w:szCs w:val="24"/>
        </w:rPr>
      </w:pPr>
      <w:r>
        <w:rPr>
          <w:rFonts w:hint="eastAsia" w:ascii="新宋体" w:hAnsi="新宋体" w:eastAsia="新宋体"/>
          <w:sz w:val="24"/>
          <w:szCs w:val="24"/>
        </w:rPr>
        <w:t>在维护过程中，因供应商原因造成应用开发功能异常或出现重大故障，给业务发展带来的负面影响，供应商接受采购方按合同和相关管理规定进行的管理、考核、惩罚。在系统出现故障后，全力以赴，加派技术骨干以配合采购方完成故障处理工作，保证故障处理的准确性和及时性；杜绝因误操作引发的故障；负责完成编制故障分析和处理报告。</w:t>
      </w:r>
      <w:r>
        <w:rPr>
          <w:rFonts w:hint="eastAsia" w:ascii="新宋体" w:hAnsi="新宋体" w:eastAsia="新宋体"/>
          <w:b/>
          <w:bCs/>
          <w:sz w:val="24"/>
          <w:szCs w:val="24"/>
        </w:rPr>
        <w:t>七、项目服务具体内容</w:t>
      </w:r>
    </w:p>
    <w:tbl>
      <w:tblPr>
        <w:tblStyle w:val="12"/>
        <w:tblW w:w="9215" w:type="dxa"/>
        <w:tblInd w:w="-318" w:type="dxa"/>
        <w:tblLayout w:type="fixed"/>
        <w:tblCellMar>
          <w:top w:w="15" w:type="dxa"/>
          <w:left w:w="108" w:type="dxa"/>
          <w:bottom w:w="15" w:type="dxa"/>
          <w:right w:w="108" w:type="dxa"/>
        </w:tblCellMar>
      </w:tblPr>
      <w:tblGrid>
        <w:gridCol w:w="487"/>
        <w:gridCol w:w="1263"/>
        <w:gridCol w:w="5575"/>
        <w:gridCol w:w="1890"/>
      </w:tblGrid>
      <w:tr>
        <w:tblPrEx>
          <w:tblCellMar>
            <w:top w:w="15" w:type="dxa"/>
            <w:left w:w="108" w:type="dxa"/>
            <w:bottom w:w="15" w:type="dxa"/>
            <w:right w:w="108" w:type="dxa"/>
          </w:tblCellMar>
        </w:tblPrEx>
        <w:trPr>
          <w:trHeight w:val="821" w:hRule="atLeast"/>
        </w:trPr>
        <w:tc>
          <w:tcPr>
            <w:tcW w:w="4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新宋体" w:hAnsi="新宋体" w:eastAsia="新宋体" w:cs="Times New Roman"/>
                <w:sz w:val="24"/>
                <w:szCs w:val="24"/>
              </w:rPr>
            </w:pPr>
            <w:r>
              <w:rPr>
                <w:rFonts w:hint="eastAsia" w:ascii="新宋体" w:hAnsi="新宋体" w:eastAsia="新宋体" w:cs="Times New Roman"/>
                <w:sz w:val="24"/>
                <w:szCs w:val="24"/>
              </w:rPr>
              <w:t>序号</w:t>
            </w:r>
          </w:p>
        </w:tc>
        <w:tc>
          <w:tcPr>
            <w:tcW w:w="1263" w:type="dxa"/>
            <w:tcBorders>
              <w:top w:val="single" w:color="000000" w:sz="4" w:space="0"/>
              <w:bottom w:val="single" w:color="000000" w:sz="4" w:space="0"/>
              <w:right w:val="single" w:color="000000" w:sz="4" w:space="0"/>
            </w:tcBorders>
            <w:noWrap w:val="0"/>
            <w:vAlign w:val="center"/>
          </w:tcPr>
          <w:p>
            <w:pPr>
              <w:spacing w:line="360" w:lineRule="auto"/>
              <w:jc w:val="center"/>
              <w:rPr>
                <w:rFonts w:hint="eastAsia" w:ascii="新宋体" w:hAnsi="新宋体" w:eastAsia="新宋体" w:cs="Times New Roman"/>
                <w:sz w:val="24"/>
                <w:szCs w:val="24"/>
              </w:rPr>
            </w:pPr>
            <w:r>
              <w:rPr>
                <w:rFonts w:hint="eastAsia" w:ascii="新宋体" w:hAnsi="新宋体" w:eastAsia="新宋体" w:cs="Times New Roman"/>
                <w:sz w:val="24"/>
                <w:szCs w:val="24"/>
              </w:rPr>
              <w:t>工作名称</w:t>
            </w:r>
          </w:p>
        </w:tc>
        <w:tc>
          <w:tcPr>
            <w:tcW w:w="5575" w:type="dxa"/>
            <w:tcBorders>
              <w:top w:val="single" w:color="000000" w:sz="4" w:space="0"/>
              <w:bottom w:val="single" w:color="000000" w:sz="4" w:space="0"/>
              <w:right w:val="single" w:color="000000" w:sz="4" w:space="0"/>
            </w:tcBorders>
            <w:noWrap w:val="0"/>
            <w:vAlign w:val="center"/>
          </w:tcPr>
          <w:p>
            <w:pPr>
              <w:spacing w:line="360" w:lineRule="auto"/>
              <w:jc w:val="center"/>
              <w:rPr>
                <w:rFonts w:hint="eastAsia" w:ascii="新宋体" w:hAnsi="新宋体" w:eastAsia="新宋体" w:cs="Times New Roman"/>
                <w:sz w:val="24"/>
                <w:szCs w:val="24"/>
              </w:rPr>
            </w:pPr>
            <w:r>
              <w:rPr>
                <w:rFonts w:hint="eastAsia" w:ascii="新宋体" w:hAnsi="新宋体" w:eastAsia="新宋体" w:cs="Times New Roman"/>
                <w:sz w:val="24"/>
                <w:szCs w:val="24"/>
              </w:rPr>
              <w:t>具体工作内容</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新宋体" w:hAnsi="新宋体" w:eastAsia="新宋体" w:cs="Times New Roman"/>
                <w:sz w:val="24"/>
                <w:szCs w:val="24"/>
              </w:rPr>
            </w:pPr>
            <w:r>
              <w:rPr>
                <w:rFonts w:hint="eastAsia" w:ascii="新宋体" w:hAnsi="新宋体" w:eastAsia="新宋体" w:cs="Times New Roman"/>
                <w:sz w:val="24"/>
                <w:szCs w:val="24"/>
              </w:rPr>
              <w:t>所需人力</w:t>
            </w:r>
          </w:p>
          <w:p>
            <w:pPr>
              <w:spacing w:line="360" w:lineRule="auto"/>
              <w:jc w:val="center"/>
              <w:rPr>
                <w:rFonts w:hint="eastAsia" w:ascii="新宋体" w:hAnsi="新宋体" w:eastAsia="新宋体" w:cs="Times New Roman"/>
                <w:sz w:val="24"/>
                <w:szCs w:val="24"/>
              </w:rPr>
            </w:pPr>
            <w:r>
              <w:rPr>
                <w:rFonts w:hint="eastAsia" w:ascii="新宋体" w:hAnsi="新宋体" w:eastAsia="新宋体" w:cs="Times New Roman"/>
                <w:sz w:val="24"/>
                <w:szCs w:val="24"/>
              </w:rPr>
              <w:t>（单位：月）</w:t>
            </w:r>
          </w:p>
        </w:tc>
      </w:tr>
      <w:tr>
        <w:tblPrEx>
          <w:tblCellMar>
            <w:top w:w="15" w:type="dxa"/>
            <w:left w:w="108" w:type="dxa"/>
            <w:bottom w:w="15" w:type="dxa"/>
            <w:right w:w="108" w:type="dxa"/>
          </w:tblCellMar>
        </w:tblPrEx>
        <w:trPr>
          <w:trHeight w:val="387"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restart"/>
            <w:tcBorders>
              <w:top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p>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政务办公系统（深圳海关）智慧纪检应用维护</w:t>
            </w: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做好该系统及相关功能的日常巡检工作，及时处理运行过程中的各类异常，保障系统的稳定运行。</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2</w:t>
            </w:r>
          </w:p>
        </w:tc>
      </w:tr>
      <w:tr>
        <w:tblPrEx>
          <w:tblCellMar>
            <w:top w:w="15" w:type="dxa"/>
            <w:left w:w="108" w:type="dxa"/>
            <w:bottom w:w="15" w:type="dxa"/>
            <w:right w:w="108" w:type="dxa"/>
          </w:tblCellMar>
        </w:tblPrEx>
        <w:trPr>
          <w:trHeight w:val="840"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根据要求，做好系统应用的更新部署、配置、调试工作，及时处理部署、调试过程中出现的各类问题，为各系统数据接入本平台的其他系统提供技术支持。</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w:t>
            </w:r>
          </w:p>
        </w:tc>
      </w:tr>
      <w:tr>
        <w:tblPrEx>
          <w:tblCellMar>
            <w:top w:w="15" w:type="dxa"/>
            <w:left w:w="108" w:type="dxa"/>
            <w:bottom w:w="15" w:type="dxa"/>
            <w:right w:w="108" w:type="dxa"/>
          </w:tblCellMar>
        </w:tblPrEx>
        <w:trPr>
          <w:trHeight w:val="735"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及时配合处理客户端使用时出现的各类问题，保障用户的正常操作使用。</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w:t>
            </w:r>
          </w:p>
        </w:tc>
      </w:tr>
      <w:tr>
        <w:tblPrEx>
          <w:tblCellMar>
            <w:top w:w="15" w:type="dxa"/>
            <w:left w:w="108" w:type="dxa"/>
            <w:bottom w:w="15" w:type="dxa"/>
            <w:right w:w="108" w:type="dxa"/>
          </w:tblCellMar>
        </w:tblPrEx>
        <w:trPr>
          <w:trHeight w:val="735"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按照要求开展相关业务技术数据统计、查询工作，配合完成上级部门系统应用绩效的数据查询统计工作。</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0.5</w:t>
            </w:r>
          </w:p>
        </w:tc>
      </w:tr>
      <w:tr>
        <w:tblPrEx>
          <w:tblCellMar>
            <w:top w:w="15" w:type="dxa"/>
            <w:left w:w="108" w:type="dxa"/>
            <w:bottom w:w="15" w:type="dxa"/>
            <w:right w:w="108" w:type="dxa"/>
          </w:tblCellMar>
        </w:tblPrEx>
        <w:trPr>
          <w:trHeight w:val="735"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根据业务需求，及时针对用户端进行调整、优化各类操作上及功能上的变更和维护工作。</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0.5</w:t>
            </w:r>
          </w:p>
        </w:tc>
      </w:tr>
      <w:tr>
        <w:tblPrEx>
          <w:tblCellMar>
            <w:top w:w="15" w:type="dxa"/>
            <w:left w:w="108" w:type="dxa"/>
            <w:bottom w:w="15" w:type="dxa"/>
            <w:right w:w="108" w:type="dxa"/>
          </w:tblCellMar>
        </w:tblPrEx>
        <w:trPr>
          <w:trHeight w:val="735"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按要求做好系统安全防护工作，根据安全防护需求对系统进行安全加固，消除安全隐患，为系统安全稳定提供技术保障工作。</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w:t>
            </w:r>
          </w:p>
        </w:tc>
      </w:tr>
      <w:tr>
        <w:tblPrEx>
          <w:tblCellMar>
            <w:top w:w="15" w:type="dxa"/>
            <w:left w:w="108" w:type="dxa"/>
            <w:bottom w:w="15" w:type="dxa"/>
            <w:right w:w="108" w:type="dxa"/>
          </w:tblCellMar>
        </w:tblPrEx>
        <w:trPr>
          <w:trHeight w:val="372"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根据业务需求，针对维护数据传输接口，做好相应的联调测试，及时处理联调过程出现的各类问题。</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w:t>
            </w:r>
          </w:p>
        </w:tc>
      </w:tr>
      <w:tr>
        <w:tblPrEx>
          <w:tblCellMar>
            <w:top w:w="15" w:type="dxa"/>
            <w:left w:w="108" w:type="dxa"/>
            <w:bottom w:w="15" w:type="dxa"/>
            <w:right w:w="108" w:type="dxa"/>
          </w:tblCellMar>
        </w:tblPrEx>
        <w:trPr>
          <w:trHeight w:val="313"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根据业务需求，配合做好客户端的维护配置、系统管理等工作。</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0.5</w:t>
            </w:r>
          </w:p>
        </w:tc>
      </w:tr>
      <w:tr>
        <w:tblPrEx>
          <w:tblCellMar>
            <w:top w:w="15" w:type="dxa"/>
            <w:left w:w="108" w:type="dxa"/>
            <w:bottom w:w="15" w:type="dxa"/>
            <w:right w:w="108" w:type="dxa"/>
          </w:tblCellMar>
        </w:tblPrEx>
        <w:trPr>
          <w:trHeight w:val="1050"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left w:val="single" w:color="auto" w:sz="6"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auto" w:sz="6" w:space="0"/>
              <w:left w:val="single" w:color="000000" w:sz="4"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日常巡检：每月完成不少于2次以上巡检工作，检查系统与Gbase平台相关数据抽取作业运行状态，及时排查处理巡检异常，保障服务可用性和连续性</w:t>
            </w:r>
          </w:p>
        </w:tc>
        <w:tc>
          <w:tcPr>
            <w:tcW w:w="18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w:t>
            </w:r>
          </w:p>
        </w:tc>
      </w:tr>
      <w:tr>
        <w:tblPrEx>
          <w:tblCellMar>
            <w:top w:w="15" w:type="dxa"/>
            <w:left w:w="108" w:type="dxa"/>
            <w:bottom w:w="15" w:type="dxa"/>
            <w:right w:w="108" w:type="dxa"/>
          </w:tblCellMar>
        </w:tblPrEx>
        <w:trPr>
          <w:trHeight w:val="1500"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left w:val="single" w:color="auto" w:sz="6"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auto" w:sz="6" w:space="0"/>
              <w:left w:val="single" w:color="000000" w:sz="4"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季度分析：每季度进行对日常工作做一次深度分析，实现以下方面的工作改善：针对经常出现的故障进行分析汇总，查找问题根本原因并从技术和管理上分析改善建议；针对日常工作中大量重复的劳动，通过引入外部工具或脚本优化现有工作流程；根据监控数据，分析服务器数据量及服务器负载趋势，制定必要、可行的系统优化建议</w:t>
            </w:r>
          </w:p>
        </w:tc>
        <w:tc>
          <w:tcPr>
            <w:tcW w:w="18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w:t>
            </w:r>
          </w:p>
        </w:tc>
      </w:tr>
      <w:tr>
        <w:tblPrEx>
          <w:tblCellMar>
            <w:top w:w="15" w:type="dxa"/>
            <w:left w:w="108" w:type="dxa"/>
            <w:bottom w:w="15" w:type="dxa"/>
            <w:right w:w="108" w:type="dxa"/>
          </w:tblCellMar>
        </w:tblPrEx>
        <w:trPr>
          <w:trHeight w:val="1005"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jc w:val="center"/>
              <w:rPr>
                <w:rFonts w:hint="eastAsia" w:ascii="新宋体" w:hAnsi="新宋体" w:eastAsia="新宋体" w:cs="Times New Roman"/>
                <w:sz w:val="24"/>
                <w:szCs w:val="24"/>
              </w:rPr>
            </w:pPr>
          </w:p>
        </w:tc>
        <w:tc>
          <w:tcPr>
            <w:tcW w:w="1263" w:type="dxa"/>
            <w:vMerge w:val="continue"/>
            <w:tcBorders>
              <w:left w:val="single" w:color="auto" w:sz="6"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auto" w:sz="6" w:space="0"/>
              <w:left w:val="single" w:color="000000" w:sz="4"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日常工作：账户授权相关处理，协助用户单位排查数据抽取及查询异常等问题，相关数据抽取、同步作业及调度的调试、新增、修改和禁用等；配合完成群集节点服务器硬件故障维护。</w:t>
            </w:r>
          </w:p>
        </w:tc>
        <w:tc>
          <w:tcPr>
            <w:tcW w:w="18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2</w:t>
            </w:r>
          </w:p>
        </w:tc>
      </w:tr>
      <w:tr>
        <w:tblPrEx>
          <w:tblCellMar>
            <w:top w:w="15" w:type="dxa"/>
            <w:left w:w="108" w:type="dxa"/>
            <w:bottom w:w="15" w:type="dxa"/>
            <w:right w:w="108" w:type="dxa"/>
          </w:tblCellMar>
        </w:tblPrEx>
        <w:trPr>
          <w:trHeight w:val="900" w:hRule="atLeast"/>
        </w:trPr>
        <w:tc>
          <w:tcPr>
            <w:tcW w:w="487" w:type="dxa"/>
            <w:tcBorders>
              <w:top w:val="single" w:color="auto" w:sz="6" w:space="0"/>
              <w:left w:val="single" w:color="auto" w:sz="6" w:space="0"/>
              <w:bottom w:val="single" w:color="auto" w:sz="6" w:space="0"/>
              <w:right w:val="single" w:color="auto" w:sz="6" w:space="0"/>
            </w:tcBorders>
            <w:noWrap/>
            <w:vAlign w:val="center"/>
          </w:tcPr>
          <w:p>
            <w:pPr>
              <w:numPr>
                <w:ilvl w:val="0"/>
                <w:numId w:val="1"/>
              </w:numPr>
              <w:spacing w:line="360" w:lineRule="auto"/>
              <w:rPr>
                <w:rFonts w:hint="eastAsia" w:ascii="新宋体" w:hAnsi="新宋体" w:eastAsia="新宋体" w:cs="Times New Roman"/>
                <w:sz w:val="24"/>
                <w:szCs w:val="24"/>
              </w:rPr>
            </w:pPr>
            <w:r>
              <w:rPr>
                <w:rFonts w:hint="eastAsia" w:ascii="新宋体" w:hAnsi="新宋体" w:eastAsia="新宋体" w:cs="Times New Roman"/>
                <w:sz w:val="24"/>
                <w:szCs w:val="24"/>
              </w:rPr>
              <w:t>12</w:t>
            </w:r>
          </w:p>
        </w:tc>
        <w:tc>
          <w:tcPr>
            <w:tcW w:w="1263" w:type="dxa"/>
            <w:vMerge w:val="continue"/>
            <w:tcBorders>
              <w:left w:val="single" w:color="auto" w:sz="6" w:space="0"/>
              <w:bottom w:val="single" w:color="auto" w:sz="6"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p>
        </w:tc>
        <w:tc>
          <w:tcPr>
            <w:tcW w:w="5575" w:type="dxa"/>
            <w:tcBorders>
              <w:top w:val="single" w:color="auto" w:sz="6" w:space="0"/>
              <w:left w:val="single" w:color="000000" w:sz="4"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文档维护：服务器、数据库、抽取作业调度等相关配置清单维护及导出；操作手册、故障处理等技术方案编写和更新；其他重大专项工作实施方案、实施报告编写等。</w:t>
            </w:r>
          </w:p>
        </w:tc>
        <w:tc>
          <w:tcPr>
            <w:tcW w:w="18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0.5</w:t>
            </w:r>
          </w:p>
        </w:tc>
      </w:tr>
      <w:tr>
        <w:tblPrEx>
          <w:tblCellMar>
            <w:top w:w="15" w:type="dxa"/>
            <w:left w:w="108" w:type="dxa"/>
            <w:bottom w:w="15" w:type="dxa"/>
            <w:right w:w="108" w:type="dxa"/>
          </w:tblCellMar>
        </w:tblPrEx>
        <w:trPr>
          <w:trHeight w:val="386" w:hRule="atLeast"/>
        </w:trPr>
        <w:tc>
          <w:tcPr>
            <w:tcW w:w="7325"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　总计</w:t>
            </w:r>
          </w:p>
        </w:tc>
        <w:tc>
          <w:tcPr>
            <w:tcW w:w="1890" w:type="dxa"/>
            <w:tcBorders>
              <w:bottom w:val="single" w:color="000000" w:sz="4" w:space="0"/>
              <w:right w:val="single" w:color="000000" w:sz="4" w:space="0"/>
            </w:tcBorders>
            <w:noWrap w:val="0"/>
            <w:vAlign w:val="center"/>
          </w:tcPr>
          <w:p>
            <w:pPr>
              <w:spacing w:line="360" w:lineRule="auto"/>
              <w:ind w:firstLine="240" w:firstLineChars="100"/>
              <w:rPr>
                <w:rFonts w:hint="eastAsia" w:ascii="新宋体" w:hAnsi="新宋体" w:eastAsia="新宋体" w:cs="Times New Roman"/>
                <w:sz w:val="24"/>
                <w:szCs w:val="24"/>
              </w:rPr>
            </w:pPr>
            <w:r>
              <w:rPr>
                <w:rFonts w:hint="eastAsia" w:ascii="新宋体" w:hAnsi="新宋体" w:eastAsia="新宋体" w:cs="Times New Roman"/>
                <w:sz w:val="24"/>
                <w:szCs w:val="24"/>
              </w:rPr>
              <w:t>12</w:t>
            </w:r>
          </w:p>
        </w:tc>
      </w:tr>
    </w:tbl>
    <w:p>
      <w:pPr>
        <w:spacing w:line="360" w:lineRule="auto"/>
        <w:ind w:firstLine="241" w:firstLineChars="100"/>
        <w:rPr>
          <w:rFonts w:hint="eastAsia" w:ascii="新宋体" w:hAnsi="新宋体" w:eastAsia="新宋体"/>
          <w:b/>
          <w:bCs/>
          <w:sz w:val="24"/>
          <w:szCs w:val="24"/>
        </w:rPr>
      </w:pPr>
      <w:r>
        <w:rPr>
          <w:rFonts w:hint="eastAsia" w:ascii="新宋体" w:hAnsi="新宋体" w:eastAsia="新宋体"/>
          <w:b/>
          <w:bCs/>
          <w:sz w:val="24"/>
          <w:szCs w:val="24"/>
        </w:rPr>
        <w:t>八、技术人员要求</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1.需求人数:  1人</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2.服务方式：以驻场服务方式提供技术服务，工作地点为深圳海关指定地点（深圳地区）。</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3.驻场人员团队技能要求:</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① 精通主流的Spring cloud、Spring Boot、MyBatis、VUE等相关框架，熟悉应用程序部署，具有独立处理相关技术问题的能力。熟练掌握idea、git、maven等常用开发工具的使用。</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②精通Java开发语言，且团队成员至少有一人精通.Net开发语言。</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③熟悉Linux操作系统的各类管理操作，能熟练在Linux服务器搭建测试及生产环境，部署Java相关应用及常用服务，快速查询日志、定位故障，并能进行简单的shell脚本编写。</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④熟悉并熟练使用常用结构化数据库，熟悉GaussDB、Kingbase、GBASE等国产化数据库；熟悉MongoDB、Redis、Kafka、IBMMQ等数据存储和消息队列技术。</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⑤掌握反向代理、负载均衡等相关技术，如nginx。</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⑥掌握WEB开发相关技能，如JQuery，JavaScript，HTML5，CSS3等。</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⑦具有良好的面向对象编程经验，深入理解OOP、AOP思想，具有较强的算法分析能力。</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⑧ 熟悉面向对象分析设计，并熟练掌握Rose、Visio、PowerDesigner等UML建模工具。</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t>⑨ 有良好、规范的编程习惯和文档编写习惯。</w:t>
      </w:r>
    </w:p>
    <w:p>
      <w:pPr>
        <w:spacing w:line="360" w:lineRule="auto"/>
        <w:ind w:firstLine="240" w:firstLineChars="100"/>
        <w:rPr>
          <w:rFonts w:hint="eastAsia" w:ascii="新宋体" w:hAnsi="新宋体" w:eastAsia="新宋体"/>
          <w:sz w:val="24"/>
          <w:szCs w:val="24"/>
        </w:rPr>
      </w:pPr>
      <w:r>
        <w:rPr>
          <w:rFonts w:hint="eastAsia" w:ascii="新宋体" w:hAnsi="新宋体" w:eastAsia="新宋体"/>
          <w:sz w:val="24"/>
          <w:szCs w:val="24"/>
        </w:rPr>
        <w:fldChar w:fldCharType="begin"/>
      </w:r>
      <w:r>
        <w:rPr>
          <w:rFonts w:hint="eastAsia" w:ascii="新宋体" w:hAnsi="新宋体" w:eastAsia="新宋体"/>
          <w:sz w:val="24"/>
          <w:szCs w:val="24"/>
        </w:rPr>
        <w:instrText xml:space="preserve"> = 10 \* GB3 </w:instrText>
      </w:r>
      <w:r>
        <w:rPr>
          <w:rFonts w:hint="eastAsia" w:ascii="新宋体" w:hAnsi="新宋体" w:eastAsia="新宋体"/>
          <w:sz w:val="24"/>
          <w:szCs w:val="24"/>
        </w:rPr>
        <w:fldChar w:fldCharType="separate"/>
      </w:r>
      <w:r>
        <w:rPr>
          <w:rFonts w:hint="eastAsia" w:ascii="新宋体" w:hAnsi="新宋体" w:eastAsia="新宋体"/>
          <w:sz w:val="24"/>
          <w:szCs w:val="24"/>
        </w:rPr>
        <w:t>⑩</w:t>
      </w:r>
      <w:r>
        <w:rPr>
          <w:rFonts w:hint="eastAsia" w:ascii="新宋体" w:hAnsi="新宋体" w:eastAsia="新宋体"/>
          <w:sz w:val="24"/>
          <w:szCs w:val="24"/>
        </w:rPr>
        <w:fldChar w:fldCharType="end"/>
      </w:r>
      <w:r>
        <w:rPr>
          <w:rFonts w:hint="eastAsia" w:ascii="新宋体" w:hAnsi="新宋体" w:eastAsia="新宋体"/>
          <w:sz w:val="24"/>
          <w:szCs w:val="24"/>
        </w:rPr>
        <w:t xml:space="preserve"> 拥有三年以上开发经验，有大型项目开发经验。</w:t>
      </w:r>
    </w:p>
    <w:p/>
    <w:sectPr>
      <w:footerReference r:id="rId3"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712"/>
      </w:tabs>
      <w:snapToGrid w:val="0"/>
      <w:spacing w:line="360" w:lineRule="auto"/>
      <w:rPr>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55528"/>
    <w:multiLevelType w:val="singleLevel"/>
    <w:tmpl w:val="D1455528"/>
    <w:lvl w:ilvl="0" w:tentative="0">
      <w:start w:val="1"/>
      <w:numFmt w:val="decimal"/>
      <w:lvlText w:val="%1"/>
      <w:lvlJc w:val="center"/>
      <w:pPr>
        <w:tabs>
          <w:tab w:val="left" w:pos="397"/>
        </w:tabs>
        <w:ind w:left="454"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23224"/>
    <w:rsid w:val="00035FDC"/>
    <w:rsid w:val="000E0AD6"/>
    <w:rsid w:val="000E24B2"/>
    <w:rsid w:val="000E6446"/>
    <w:rsid w:val="001E13C0"/>
    <w:rsid w:val="002600D8"/>
    <w:rsid w:val="00263955"/>
    <w:rsid w:val="002A7053"/>
    <w:rsid w:val="00374611"/>
    <w:rsid w:val="00391D2A"/>
    <w:rsid w:val="00584311"/>
    <w:rsid w:val="00634E4A"/>
    <w:rsid w:val="00677542"/>
    <w:rsid w:val="00720994"/>
    <w:rsid w:val="00767E90"/>
    <w:rsid w:val="007A27F3"/>
    <w:rsid w:val="0087030C"/>
    <w:rsid w:val="008C6162"/>
    <w:rsid w:val="00914F23"/>
    <w:rsid w:val="00972346"/>
    <w:rsid w:val="00AC2812"/>
    <w:rsid w:val="00AE721F"/>
    <w:rsid w:val="00B25542"/>
    <w:rsid w:val="00B52D07"/>
    <w:rsid w:val="00BD3F95"/>
    <w:rsid w:val="00BE7455"/>
    <w:rsid w:val="00D71CF8"/>
    <w:rsid w:val="00DF745D"/>
    <w:rsid w:val="00E1055D"/>
    <w:rsid w:val="00E34658"/>
    <w:rsid w:val="00E34D08"/>
    <w:rsid w:val="00F07B67"/>
    <w:rsid w:val="00F5791C"/>
    <w:rsid w:val="00FC0479"/>
    <w:rsid w:val="1BAC04D2"/>
    <w:rsid w:val="1CA940AB"/>
    <w:rsid w:val="272C2AAA"/>
    <w:rsid w:val="3A43493D"/>
    <w:rsid w:val="634728BF"/>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spacing w:before="340" w:after="330" w:line="578" w:lineRule="auto"/>
      <w:outlineLvl w:val="0"/>
    </w:pPr>
    <w:rPr>
      <w:kern w:val="44"/>
      <w:sz w:val="44"/>
      <w:szCs w:val="44"/>
    </w:rPr>
  </w:style>
  <w:style w:type="paragraph" w:styleId="2">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spacing w:before="260" w:after="260" w:line="413" w:lineRule="auto"/>
      <w:outlineLvl w:val="2"/>
    </w:pPr>
    <w:rPr>
      <w:sz w:val="32"/>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qFormat/>
    <w:uiPriority w:val="9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9">
    <w:name w:val="annotation text"/>
    <w:basedOn w:val="1"/>
    <w:link w:val="20"/>
    <w:unhideWhenUsed/>
    <w:qFormat/>
    <w:uiPriority w:val="0"/>
    <w:pPr>
      <w:jc w:val="left"/>
    </w:p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99"/>
    <w:rPr>
      <w:sz w:val="18"/>
      <w:szCs w:val="18"/>
    </w:rPr>
  </w:style>
  <w:style w:type="character" w:customStyle="1" w:styleId="15">
    <w:name w:val="页脚 Char"/>
    <w:basedOn w:val="13"/>
    <w:link w:val="10"/>
    <w:qFormat/>
    <w:uiPriority w:val="99"/>
    <w:rPr>
      <w:sz w:val="18"/>
      <w:szCs w:val="18"/>
    </w:rPr>
  </w:style>
  <w:style w:type="character" w:customStyle="1" w:styleId="16">
    <w:name w:val="列出段落 Char"/>
    <w:link w:val="17"/>
    <w:qFormat/>
    <w:locked/>
    <w:uiPriority w:val="34"/>
  </w:style>
  <w:style w:type="paragraph" w:styleId="17">
    <w:name w:val="List Paragraph"/>
    <w:basedOn w:val="1"/>
    <w:link w:val="16"/>
    <w:qFormat/>
    <w:uiPriority w:val="34"/>
    <w:pPr>
      <w:ind w:firstLine="420"/>
    </w:pPr>
  </w:style>
  <w:style w:type="paragraph" w:customStyle="1" w:styleId="18">
    <w:name w:val="正文 首行缩进:  2 字符"/>
    <w:basedOn w:val="1"/>
    <w:link w:val="19"/>
    <w:qFormat/>
    <w:uiPriority w:val="0"/>
    <w:pPr>
      <w:spacing w:line="360" w:lineRule="auto"/>
      <w:ind w:firstLine="480" w:firstLineChars="200"/>
    </w:pPr>
    <w:rPr>
      <w:rFonts w:ascii="Times New Roman" w:hAnsi="Times New Roman"/>
      <w:sz w:val="24"/>
      <w:szCs w:val="20"/>
      <w:lang w:val="zh-CN"/>
    </w:rPr>
  </w:style>
  <w:style w:type="character" w:customStyle="1" w:styleId="19">
    <w:name w:val="正文 首行缩进:  2 字符 Char"/>
    <w:link w:val="18"/>
    <w:qFormat/>
    <w:uiPriority w:val="0"/>
    <w:rPr>
      <w:rFonts w:ascii="Times New Roman" w:hAnsi="Times New Roman" w:eastAsia="宋体" w:cs="Times New Roman"/>
      <w:sz w:val="24"/>
      <w:szCs w:val="20"/>
      <w:lang w:val="zh-CN" w:eastAsia="zh-CN"/>
    </w:rPr>
  </w:style>
  <w:style w:type="character" w:customStyle="1" w:styleId="20">
    <w:name w:val="批注文字 Char"/>
    <w:link w:val="9"/>
    <w:qFormat/>
    <w:uiPriority w:val="0"/>
    <w:rPr>
      <w:rFonts w:ascii="Calibri" w:hAnsi="Calibri" w:eastAsia="宋体"/>
      <w:kern w:val="2"/>
      <w:sz w:val="21"/>
      <w:szCs w:val="22"/>
    </w:rPr>
  </w:style>
  <w:style w:type="character" w:customStyle="1" w:styleId="21">
    <w:name w:val="批注文字 字符"/>
    <w:basedOn w:val="13"/>
    <w:semiHidden/>
    <w:qFormat/>
    <w:uiPriority w:val="99"/>
    <w:rPr>
      <w:rFonts w:ascii="Calibri" w:hAnsi="Calibri" w:eastAsia="宋体"/>
      <w:kern w:val="2"/>
      <w:sz w:val="21"/>
      <w:szCs w:val="22"/>
    </w:rPr>
  </w:style>
  <w:style w:type="paragraph" w:customStyle="1" w:styleId="22">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23">
    <w:name w:val="_Style 22"/>
    <w:basedOn w:val="1"/>
    <w:next w:val="17"/>
    <w:qFormat/>
    <w:uiPriority w:val="34"/>
    <w:pPr>
      <w:ind w:firstLine="420" w:firstLineChars="200"/>
    </w:pPr>
  </w:style>
  <w:style w:type="paragraph" w:customStyle="1" w:styleId="24">
    <w:name w:val="样式 2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3656</Words>
  <Characters>3851</Characters>
  <Lines>28</Lines>
  <Paragraphs>7</Paragraphs>
  <TotalTime>0</TotalTime>
  <ScaleCrop>false</ScaleCrop>
  <LinksUpToDate>false</LinksUpToDate>
  <CharactersWithSpaces>3884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2022-09-14T10:01:29Z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