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新宋体" w:hAnsi="新宋体" w:eastAsia="新宋体"/>
        </w:rPr>
      </w:pPr>
      <w:bookmarkStart w:id="0" w:name="_Toc76031641"/>
      <w:r>
        <w:rPr>
          <w:rFonts w:hint="eastAsia" w:ascii="新宋体" w:hAnsi="新宋体" w:eastAsia="新宋体"/>
        </w:rPr>
        <w:t>第二部分　技术部分</w:t>
      </w:r>
      <w:bookmarkEnd w:id="0"/>
    </w:p>
    <w:p>
      <w:pPr>
        <w:pStyle w:val="5"/>
        <w:jc w:val="center"/>
        <w:rPr>
          <w:rFonts w:ascii="新宋体" w:hAnsi="新宋体" w:eastAsia="新宋体"/>
        </w:rPr>
      </w:pPr>
      <w:bookmarkStart w:id="1" w:name="_Toc76031642"/>
      <w:r>
        <w:rPr>
          <w:rFonts w:hint="eastAsia" w:ascii="新宋体" w:hAnsi="新宋体" w:eastAsia="新宋体"/>
        </w:rPr>
        <w:t>第六章　项目采购需求</w:t>
      </w:r>
      <w:bookmarkEnd w:id="1"/>
    </w:p>
    <w:p>
      <w:pPr>
        <w:pStyle w:val="6"/>
        <w:jc w:val="center"/>
        <w:rPr>
          <w:rFonts w:ascii="新宋体" w:hAnsi="新宋体" w:eastAsia="新宋体"/>
          <w:sz w:val="24"/>
          <w:szCs w:val="24"/>
        </w:rPr>
      </w:pPr>
      <w:bookmarkStart w:id="2" w:name="_Toc76031643"/>
      <w:r>
        <w:rPr>
          <w:rFonts w:hint="eastAsia" w:ascii="新宋体" w:hAnsi="新宋体" w:eastAsia="新宋体"/>
          <w:sz w:val="24"/>
          <w:szCs w:val="24"/>
        </w:rPr>
        <w:t>第一节 项目概述</w:t>
      </w:r>
      <w:bookmarkEnd w:id="2"/>
    </w:p>
    <w:p>
      <w:pPr>
        <w:pStyle w:val="7"/>
        <w:spacing w:line="360" w:lineRule="auto"/>
        <w:rPr>
          <w:rFonts w:ascii="新宋体" w:hAnsi="新宋体" w:eastAsia="新宋体"/>
          <w:sz w:val="24"/>
          <w:szCs w:val="24"/>
        </w:rPr>
      </w:pPr>
      <w:r>
        <w:rPr>
          <w:rFonts w:hint="eastAsia" w:ascii="新宋体" w:hAnsi="新宋体" w:eastAsia="新宋体"/>
          <w:sz w:val="24"/>
          <w:szCs w:val="24"/>
        </w:rPr>
        <w:t>一、服务清单</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b/>
                <w:bCs/>
                <w:color w:val="auto"/>
                <w:sz w:val="24"/>
                <w:szCs w:val="24"/>
              </w:rPr>
            </w:pPr>
            <w:r>
              <w:rPr>
                <w:rFonts w:hint="eastAsia" w:ascii="新宋体" w:hAnsi="新宋体" w:eastAsia="新宋体" w:cs="Calibri"/>
                <w:b/>
                <w:bCs/>
                <w:color w:val="auto"/>
                <w:sz w:val="24"/>
                <w:szCs w:val="24"/>
              </w:rPr>
              <w:t>序号</w:t>
            </w:r>
          </w:p>
        </w:tc>
        <w:tc>
          <w:tcPr>
            <w:tcW w:w="3685"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b/>
                <w:bCs/>
                <w:color w:val="auto"/>
                <w:sz w:val="24"/>
                <w:szCs w:val="24"/>
              </w:rPr>
            </w:pPr>
            <w:r>
              <w:rPr>
                <w:rFonts w:hint="eastAsia" w:ascii="新宋体" w:hAnsi="新宋体" w:eastAsia="新宋体" w:cs="Calibri"/>
                <w:b/>
                <w:bCs/>
                <w:color w:val="auto"/>
                <w:sz w:val="24"/>
                <w:szCs w:val="24"/>
              </w:rPr>
              <w:t>名称</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b/>
                <w:bCs/>
                <w:color w:val="auto"/>
                <w:sz w:val="24"/>
                <w:szCs w:val="24"/>
              </w:rPr>
            </w:pPr>
            <w:r>
              <w:rPr>
                <w:rFonts w:hint="eastAsia" w:ascii="新宋体" w:hAnsi="新宋体" w:eastAsia="新宋体" w:cs="Calibri"/>
                <w:b/>
                <w:bCs/>
                <w:color w:val="auto"/>
                <w:sz w:val="24"/>
                <w:szCs w:val="24"/>
              </w:rPr>
              <w:t>单位</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b/>
                <w:bCs/>
                <w:color w:val="auto"/>
                <w:sz w:val="24"/>
                <w:szCs w:val="24"/>
              </w:rPr>
            </w:pPr>
            <w:r>
              <w:rPr>
                <w:rFonts w:hint="eastAsia" w:ascii="新宋体" w:hAnsi="新宋体" w:eastAsia="新宋体" w:cs="Calibri"/>
                <w:b/>
                <w:bCs/>
                <w:color w:val="auto"/>
                <w:sz w:val="24"/>
                <w:szCs w:val="24"/>
              </w:rPr>
              <w:t>数量</w:t>
            </w:r>
          </w:p>
        </w:tc>
        <w:tc>
          <w:tcPr>
            <w:tcW w:w="2833"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Calibri"/>
                <w:b/>
                <w:bCs/>
                <w:color w:val="auto"/>
                <w:sz w:val="24"/>
                <w:szCs w:val="24"/>
                <w:lang w:eastAsia="zh-CN"/>
              </w:rPr>
            </w:pPr>
            <w:r>
              <w:rPr>
                <w:rFonts w:hint="eastAsia" w:ascii="新宋体" w:hAnsi="新宋体" w:eastAsia="新宋体" w:cs="Calibri"/>
                <w:b/>
                <w:bCs/>
                <w:color w:val="auto"/>
                <w:sz w:val="24"/>
                <w:szCs w:val="24"/>
              </w:rPr>
              <w:t>预算金额</w:t>
            </w:r>
            <w:r>
              <w:rPr>
                <w:rFonts w:hint="eastAsia" w:ascii="新宋体" w:hAnsi="新宋体" w:eastAsia="新宋体" w:cs="Calibri"/>
                <w:b/>
                <w:bCs/>
                <w:color w:val="auto"/>
                <w:sz w:val="24"/>
                <w:szCs w:val="24"/>
                <w:lang w:eastAsia="zh-CN"/>
              </w:rPr>
              <w:t>（</w:t>
            </w:r>
            <w:r>
              <w:rPr>
                <w:rFonts w:hint="eastAsia" w:ascii="新宋体" w:hAnsi="新宋体" w:eastAsia="新宋体" w:cs="Calibri"/>
                <w:b/>
                <w:bCs/>
                <w:color w:val="auto"/>
                <w:sz w:val="24"/>
                <w:szCs w:val="24"/>
                <w:lang w:val="en-US" w:eastAsia="zh-CN"/>
              </w:rPr>
              <w:t>支付上限</w:t>
            </w:r>
            <w:r>
              <w:rPr>
                <w:rFonts w:hint="eastAsia" w:ascii="新宋体" w:hAnsi="新宋体" w:eastAsia="新宋体" w:cs="Calibri"/>
                <w:b/>
                <w:bCs/>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新宋体" w:hAnsi="新宋体" w:eastAsia="新宋体" w:cs="Arial Unicode MS"/>
                <w:snapToGrid w:val="0"/>
                <w:color w:val="auto"/>
                <w:kern w:val="0"/>
                <w:sz w:val="24"/>
                <w:szCs w:val="24"/>
              </w:rPr>
            </w:pPr>
            <w:r>
              <w:rPr>
                <w:rFonts w:hint="eastAsia" w:ascii="新宋体" w:hAnsi="新宋体" w:eastAsia="新宋体" w:cs="Arial Unicode MS"/>
                <w:snapToGrid w:val="0"/>
                <w:color w:val="auto"/>
                <w:kern w:val="0"/>
                <w:sz w:val="24"/>
                <w:szCs w:val="24"/>
              </w:rPr>
              <w:t>1</w:t>
            </w:r>
          </w:p>
        </w:tc>
        <w:tc>
          <w:tcPr>
            <w:tcW w:w="368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Calibri"/>
                <w:snapToGrid w:val="0"/>
                <w:color w:val="auto"/>
                <w:sz w:val="24"/>
                <w:szCs w:val="24"/>
                <w:lang w:eastAsia="zh-CN"/>
              </w:rPr>
            </w:pPr>
            <w:r>
              <w:rPr>
                <w:rFonts w:hint="eastAsia" w:ascii="新宋体" w:hAnsi="新宋体" w:eastAsia="新宋体" w:cs="Calibri"/>
                <w:snapToGrid w:val="0"/>
                <w:color w:val="auto"/>
                <w:sz w:val="24"/>
                <w:szCs w:val="24"/>
                <w:lang w:eastAsia="zh-CN"/>
              </w:rPr>
              <w:t>惠州海关2023年度公务车辆燃油服务项目</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snapToGrid w:val="0"/>
                <w:color w:val="auto"/>
                <w:sz w:val="24"/>
                <w:szCs w:val="24"/>
              </w:rPr>
            </w:pPr>
            <w:r>
              <w:rPr>
                <w:rFonts w:hint="eastAsia" w:ascii="新宋体" w:hAnsi="新宋体" w:eastAsia="新宋体" w:cs="Calibri"/>
                <w:snapToGrid w:val="0"/>
                <w:color w:val="auto"/>
                <w:sz w:val="24"/>
                <w:szCs w:val="24"/>
              </w:rPr>
              <w:t>项</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snapToGrid w:val="0"/>
                <w:color w:val="auto"/>
                <w:sz w:val="24"/>
                <w:szCs w:val="24"/>
              </w:rPr>
            </w:pPr>
            <w:r>
              <w:rPr>
                <w:rFonts w:hint="eastAsia" w:ascii="新宋体" w:hAnsi="新宋体" w:eastAsia="新宋体" w:cs="Calibri"/>
                <w:snapToGrid w:val="0"/>
                <w:color w:val="auto"/>
                <w:sz w:val="24"/>
                <w:szCs w:val="24"/>
              </w:rPr>
              <w:t>1</w:t>
            </w:r>
          </w:p>
        </w:tc>
        <w:tc>
          <w:tcPr>
            <w:tcW w:w="2833"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Calibri"/>
                <w:snapToGrid w:val="0"/>
                <w:color w:val="auto"/>
                <w:sz w:val="24"/>
                <w:szCs w:val="24"/>
              </w:rPr>
            </w:pPr>
            <w:r>
              <w:rPr>
                <w:rFonts w:hint="eastAsia" w:ascii="新宋体" w:hAnsi="新宋体" w:eastAsia="新宋体" w:cs="Calibri"/>
                <w:snapToGrid w:val="0"/>
                <w:color w:val="auto"/>
                <w:sz w:val="24"/>
                <w:szCs w:val="24"/>
              </w:rPr>
              <w:t>人民币</w:t>
            </w:r>
            <w:r>
              <w:rPr>
                <w:rFonts w:hint="eastAsia" w:ascii="新宋体" w:hAnsi="新宋体" w:eastAsia="新宋体" w:cs="Calibri"/>
                <w:snapToGrid w:val="0"/>
                <w:color w:val="auto"/>
                <w:sz w:val="24"/>
                <w:szCs w:val="24"/>
                <w:lang w:val="en-US" w:eastAsia="zh-CN"/>
              </w:rPr>
              <w:t>伍拾肆万</w:t>
            </w:r>
            <w:r>
              <w:rPr>
                <w:rFonts w:hint="eastAsia" w:ascii="新宋体" w:hAnsi="新宋体" w:eastAsia="新宋体" w:cs="Calibri"/>
                <w:snapToGrid w:val="0"/>
                <w:color w:val="auto"/>
                <w:sz w:val="24"/>
                <w:szCs w:val="24"/>
              </w:rPr>
              <w:t>元</w:t>
            </w:r>
            <w:r>
              <w:rPr>
                <w:rFonts w:hint="eastAsia" w:ascii="新宋体" w:hAnsi="新宋体" w:eastAsia="新宋体" w:cs="Calibri"/>
                <w:snapToGrid w:val="0"/>
                <w:color w:val="auto"/>
                <w:sz w:val="24"/>
                <w:szCs w:val="24"/>
                <w:lang w:val="en-US" w:eastAsia="zh-CN"/>
              </w:rPr>
              <w:t>整</w:t>
            </w:r>
            <w:r>
              <w:rPr>
                <w:rFonts w:hint="eastAsia" w:ascii="新宋体" w:hAnsi="新宋体" w:eastAsia="新宋体" w:cs="Calibri"/>
                <w:snapToGrid w:val="0"/>
                <w:color w:val="auto"/>
                <w:sz w:val="24"/>
                <w:szCs w:val="24"/>
              </w:rPr>
              <w:t>（</w:t>
            </w:r>
            <w:r>
              <w:rPr>
                <w:rFonts w:hint="eastAsia" w:ascii="新宋体" w:hAnsi="新宋体" w:eastAsia="新宋体" w:cs="Calibri"/>
                <w:snapToGrid w:val="0"/>
                <w:color w:val="auto"/>
                <w:sz w:val="24"/>
                <w:szCs w:val="24"/>
                <w:lang w:val="en-US" w:eastAsia="zh-CN"/>
              </w:rPr>
              <w:t>540</w:t>
            </w:r>
            <w:r>
              <w:rPr>
                <w:rFonts w:hint="eastAsia" w:ascii="新宋体" w:hAnsi="新宋体" w:eastAsia="新宋体" w:cs="Calibri"/>
                <w:snapToGrid w:val="0"/>
                <w:color w:val="auto"/>
                <w:sz w:val="24"/>
                <w:szCs w:val="24"/>
              </w:rPr>
              <w:t>,</w:t>
            </w:r>
            <w:r>
              <w:rPr>
                <w:rFonts w:hint="eastAsia" w:ascii="新宋体" w:hAnsi="新宋体" w:eastAsia="新宋体" w:cs="Calibri"/>
                <w:snapToGrid w:val="0"/>
                <w:color w:val="auto"/>
                <w:sz w:val="24"/>
                <w:szCs w:val="24"/>
                <w:lang w:val="en-US" w:eastAsia="zh-CN"/>
              </w:rPr>
              <w:t>0</w:t>
            </w:r>
            <w:r>
              <w:rPr>
                <w:rFonts w:hint="eastAsia" w:ascii="新宋体" w:hAnsi="新宋体" w:eastAsia="新宋体" w:cs="Calibri"/>
                <w:snapToGrid w:val="0"/>
                <w:color w:val="auto"/>
                <w:sz w:val="24"/>
                <w:szCs w:val="24"/>
              </w:rPr>
              <w:t>00.00）</w:t>
            </w:r>
          </w:p>
        </w:tc>
      </w:tr>
    </w:tbl>
    <w:p>
      <w:pPr>
        <w:pStyle w:val="7"/>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rPr>
          <w:rFonts w:ascii="新宋体" w:hAnsi="新宋体" w:eastAsia="新宋体"/>
          <w:b/>
          <w:bCs/>
          <w:sz w:val="24"/>
          <w:szCs w:val="24"/>
        </w:rPr>
      </w:pPr>
      <w:bookmarkStart w:id="3" w:name="_Toc76031644"/>
      <w:r>
        <w:rPr>
          <w:rFonts w:hint="eastAsia" w:ascii="新宋体" w:hAnsi="新宋体" w:eastAsia="新宋体"/>
          <w:b/>
          <w:sz w:val="24"/>
          <w:szCs w:val="24"/>
        </w:rPr>
        <w:t>1</w:t>
      </w:r>
      <w:r>
        <w:rPr>
          <w:rFonts w:hint="eastAsia" w:ascii="新宋体" w:hAnsi="新宋体" w:eastAsia="新宋体"/>
          <w:b/>
          <w:sz w:val="24"/>
          <w:szCs w:val="24"/>
          <w:lang w:val="en-US" w:eastAsia="zh-CN"/>
        </w:rPr>
        <w:t>.</w:t>
      </w:r>
      <w:r>
        <w:rPr>
          <w:rFonts w:hint="eastAsia" w:ascii="新宋体" w:hAnsi="新宋体" w:eastAsia="新宋体"/>
          <w:b/>
          <w:bCs/>
          <w:sz w:val="24"/>
          <w:szCs w:val="24"/>
        </w:rPr>
        <w:t>项目背景</w:t>
      </w:r>
    </w:p>
    <w:p>
      <w:pPr>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lang w:val="en-US" w:eastAsia="zh-CN"/>
        </w:rPr>
        <w:t>1.</w:t>
      </w:r>
      <w:r>
        <w:rPr>
          <w:rFonts w:hint="eastAsia" w:ascii="新宋体" w:hAnsi="新宋体" w:eastAsia="新宋体"/>
          <w:b w:val="0"/>
          <w:bCs w:val="0"/>
          <w:sz w:val="24"/>
          <w:szCs w:val="24"/>
        </w:rPr>
        <w:t>本项目为惠州海关公务车辆202</w:t>
      </w:r>
      <w:r>
        <w:rPr>
          <w:rFonts w:hint="eastAsia" w:ascii="新宋体" w:hAnsi="新宋体" w:eastAsia="新宋体"/>
          <w:b w:val="0"/>
          <w:bCs w:val="0"/>
          <w:sz w:val="24"/>
          <w:szCs w:val="24"/>
          <w:lang w:val="en-US" w:eastAsia="zh-CN"/>
        </w:rPr>
        <w:t>3</w:t>
      </w:r>
      <w:r>
        <w:rPr>
          <w:rFonts w:hint="eastAsia" w:ascii="新宋体" w:hAnsi="新宋体" w:eastAsia="新宋体"/>
          <w:b w:val="0"/>
          <w:bCs w:val="0"/>
          <w:sz w:val="24"/>
          <w:szCs w:val="24"/>
        </w:rPr>
        <w:t>年度燃油服务采购项目，项目预算金额合计</w:t>
      </w:r>
      <w:r>
        <w:rPr>
          <w:rFonts w:hint="eastAsia" w:ascii="新宋体" w:hAnsi="新宋体" w:eastAsia="新宋体"/>
          <w:b w:val="0"/>
          <w:bCs w:val="0"/>
          <w:sz w:val="24"/>
          <w:szCs w:val="24"/>
          <w:lang w:val="en-US" w:eastAsia="zh-CN"/>
        </w:rPr>
        <w:t>54</w:t>
      </w:r>
      <w:r>
        <w:rPr>
          <w:rFonts w:hint="eastAsia" w:ascii="新宋体" w:hAnsi="新宋体" w:eastAsia="新宋体"/>
          <w:b w:val="0"/>
          <w:bCs w:val="0"/>
          <w:sz w:val="24"/>
          <w:szCs w:val="24"/>
        </w:rPr>
        <w:t>万元。</w:t>
      </w:r>
    </w:p>
    <w:p>
      <w:pPr>
        <w:spacing w:line="360" w:lineRule="auto"/>
        <w:rPr>
          <w:rFonts w:hint="eastAsia" w:ascii="新宋体" w:hAnsi="新宋体" w:eastAsia="新宋体"/>
          <w:sz w:val="24"/>
          <w:szCs w:val="24"/>
        </w:rPr>
      </w:pPr>
      <w:r>
        <w:rPr>
          <w:rFonts w:hint="eastAsia" w:ascii="新宋体" w:hAnsi="新宋体" w:eastAsia="新宋体"/>
          <w:b w:val="0"/>
          <w:bCs w:val="0"/>
          <w:sz w:val="24"/>
          <w:szCs w:val="24"/>
          <w:lang w:val="en-US" w:eastAsia="zh-CN"/>
        </w:rPr>
        <w:t>2.</w:t>
      </w:r>
      <w:r>
        <w:rPr>
          <w:rFonts w:hint="eastAsia" w:ascii="新宋体" w:hAnsi="新宋体" w:eastAsia="新宋体"/>
          <w:b w:val="0"/>
          <w:bCs w:val="0"/>
          <w:sz w:val="24"/>
          <w:szCs w:val="24"/>
        </w:rPr>
        <w:t>本项目以国家发改委成品油最高限价为计算基准。</w:t>
      </w:r>
      <w:r>
        <w:rPr>
          <w:rFonts w:hint="eastAsia" w:ascii="新宋体" w:hAnsi="新宋体" w:eastAsia="新宋体"/>
          <w:b/>
          <w:bCs/>
          <w:sz w:val="24"/>
          <w:szCs w:val="24"/>
        </w:rPr>
        <w:br w:type="textWrapping"/>
      </w:r>
    </w:p>
    <w:p>
      <w:pPr>
        <w:pStyle w:val="6"/>
        <w:spacing w:line="360" w:lineRule="auto"/>
        <w:jc w:val="center"/>
        <w:rPr>
          <w:rFonts w:ascii="新宋体" w:hAnsi="新宋体" w:eastAsia="新宋体"/>
          <w:sz w:val="24"/>
          <w:szCs w:val="24"/>
        </w:rPr>
      </w:pPr>
      <w:r>
        <w:rPr>
          <w:rFonts w:hint="eastAsia" w:ascii="新宋体" w:hAnsi="新宋体" w:eastAsia="新宋体"/>
          <w:sz w:val="24"/>
          <w:szCs w:val="24"/>
        </w:rPr>
        <w:t>第二节 商务需求</w:t>
      </w:r>
      <w:bookmarkEnd w:id="3"/>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一、签订合同日期：</w:t>
      </w:r>
      <w:r>
        <w:rPr>
          <w:rFonts w:hint="eastAsia" w:ascii="新宋体" w:hAnsi="新宋体" w:eastAsia="新宋体" w:cs="Times New Roman"/>
          <w:b w:val="0"/>
          <w:bCs w:val="0"/>
          <w:color w:val="auto"/>
          <w:sz w:val="24"/>
          <w:szCs w:val="24"/>
          <w:highlight w:val="none"/>
          <w:lang w:val="en-US" w:eastAsia="zh-CN"/>
        </w:rPr>
        <w:t>自中标（成交）通知书发出之日起30天。</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二、合同期限：</w:t>
      </w:r>
      <w:r>
        <w:rPr>
          <w:rFonts w:hint="eastAsia" w:ascii="新宋体" w:hAnsi="新宋体" w:eastAsia="新宋体" w:cs="Times New Roman"/>
          <w:b w:val="0"/>
          <w:bCs w:val="0"/>
          <w:color w:val="auto"/>
          <w:sz w:val="24"/>
          <w:szCs w:val="24"/>
          <w:highlight w:val="none"/>
          <w:lang w:val="en-US" w:eastAsia="zh-CN"/>
        </w:rPr>
        <w:t>2023年1月1日-2023年12月31日</w:t>
      </w:r>
    </w:p>
    <w:p>
      <w:pPr>
        <w:spacing w:line="560" w:lineRule="exact"/>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三、服务地点：</w:t>
      </w:r>
      <w:r>
        <w:rPr>
          <w:rFonts w:hint="eastAsia" w:ascii="新宋体" w:hAnsi="新宋体" w:eastAsia="新宋体" w:cs="Times New Roman"/>
          <w:b w:val="0"/>
          <w:bCs w:val="0"/>
          <w:color w:val="auto"/>
          <w:sz w:val="24"/>
          <w:szCs w:val="24"/>
          <w:highlight w:val="none"/>
          <w:lang w:val="en-US" w:eastAsia="zh-CN"/>
        </w:rPr>
        <w:t>供应商在广东省内各城市及惠州市各县区均有连锁网点。采购人可根据供应商连锁网点自行选择。</w:t>
      </w:r>
      <w:r>
        <w:rPr>
          <w:rFonts w:hint="eastAsia" w:ascii="新宋体" w:hAnsi="新宋体" w:eastAsia="新宋体" w:cs="Times New Roman"/>
          <w:b w:val="0"/>
          <w:bCs w:val="0"/>
          <w:color w:val="auto"/>
          <w:sz w:val="24"/>
          <w:szCs w:val="24"/>
          <w:highlight w:val="none"/>
          <w:lang w:val="en-US" w:eastAsia="zh-CN"/>
        </w:rPr>
        <w:br w:type="textWrapping"/>
      </w:r>
      <w:r>
        <w:rPr>
          <w:rFonts w:hint="eastAsia" w:ascii="新宋体" w:hAnsi="新宋体" w:eastAsia="新宋体" w:cs="Times New Roman"/>
          <w:b/>
          <w:bCs/>
          <w:color w:val="auto"/>
          <w:sz w:val="24"/>
          <w:szCs w:val="24"/>
          <w:highlight w:val="none"/>
          <w:lang w:val="en-US" w:eastAsia="zh-CN"/>
        </w:rPr>
        <w:t>四、合同主要条款：</w:t>
      </w:r>
      <w:r>
        <w:rPr>
          <w:rFonts w:hint="eastAsia" w:ascii="新宋体" w:hAnsi="新宋体" w:eastAsia="新宋体" w:cs="Times New Roman"/>
          <w:b w:val="0"/>
          <w:bCs w:val="0"/>
          <w:color w:val="auto"/>
          <w:sz w:val="24"/>
          <w:szCs w:val="24"/>
          <w:highlight w:val="none"/>
          <w:lang w:val="en-US" w:eastAsia="zh-CN"/>
        </w:rPr>
        <w:t>实际履约中按实际采购油耗结算。</w:t>
      </w:r>
    </w:p>
    <w:p>
      <w:pPr>
        <w:spacing w:line="560" w:lineRule="exact"/>
        <w:rPr>
          <w:rFonts w:hint="eastAsia" w:ascii="新宋体" w:hAnsi="新宋体" w:eastAsia="新宋体" w:cs="Times New Roman"/>
          <w:b/>
          <w:bCs/>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五、其他要求：</w:t>
      </w:r>
    </w:p>
    <w:p>
      <w:pPr>
        <w:spacing w:line="560" w:lineRule="exact"/>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 xml:space="preserve">   1.供应商的投标文件中须提供供货等安全承诺书（格式自拟）；</w:t>
      </w:r>
    </w:p>
    <w:p>
      <w:pPr>
        <w:spacing w:line="560" w:lineRule="exact"/>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 xml:space="preserve">   2.投标文件有不清楚或互相矛盾的地方，以采购人的解释为准；</w:t>
      </w:r>
    </w:p>
    <w:p>
      <w:pPr>
        <w:spacing w:line="560" w:lineRule="exact"/>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 xml:space="preserve">   3．采购人在发出成交通知书之前任何时候均有权根据评审委员会评审意见接受或拒绝投标、宣布投标程序无效或拒绝所有投标。对受影响的供应商不承担任何责任。</w:t>
      </w:r>
    </w:p>
    <w:p>
      <w:pPr>
        <w:pStyle w:val="7"/>
        <w:spacing w:line="360" w:lineRule="auto"/>
        <w:rPr>
          <w:rFonts w:hint="eastAsia" w:ascii="新宋体" w:hAnsi="新宋体" w:eastAsia="新宋体"/>
          <w:b/>
          <w:bCs/>
          <w:color w:val="auto"/>
          <w:sz w:val="24"/>
          <w:szCs w:val="24"/>
          <w:highlight w:val="none"/>
          <w:lang w:val="en-US" w:eastAsia="zh-CN"/>
        </w:rPr>
      </w:pPr>
      <w:r>
        <w:rPr>
          <w:rFonts w:hint="eastAsia" w:ascii="新宋体" w:hAnsi="新宋体" w:eastAsia="新宋体"/>
          <w:b/>
          <w:bCs/>
          <w:color w:val="auto"/>
          <w:sz w:val="24"/>
          <w:szCs w:val="24"/>
          <w:highlight w:val="none"/>
          <w:lang w:val="en-US" w:eastAsia="zh-CN"/>
        </w:rPr>
        <w:t>六、风险管理措施</w:t>
      </w:r>
    </w:p>
    <w:p>
      <w:pPr>
        <w:spacing w:line="360" w:lineRule="auto"/>
        <w:ind w:firstLine="480" w:firstLineChars="200"/>
        <w:rPr>
          <w:rFonts w:hint="eastAsia" w:ascii="新宋体" w:hAnsi="新宋体" w:eastAsia="新宋体" w:cs="Times New Roman"/>
          <w:b w:val="0"/>
          <w:bCs w:val="0"/>
          <w:color w:val="auto"/>
          <w:sz w:val="24"/>
          <w:highlight w:val="none"/>
        </w:rPr>
      </w:pPr>
      <w:r>
        <w:rPr>
          <w:rFonts w:hint="eastAsia" w:ascii="新宋体" w:hAnsi="新宋体" w:eastAsia="新宋体" w:cs="Times New Roman"/>
          <w:b w:val="0"/>
          <w:bCs w:val="0"/>
          <w:color w:val="auto"/>
          <w:sz w:val="24"/>
          <w:highlight w:val="none"/>
        </w:rPr>
        <w:t>如因国家相关政策发生变化，应以最新的国家相关政策为准并进行执行，如因国家相关政策发生变化而导致本次项目的合同无法继续执行，采购人不承担任何责任，投标人自行承担由此带来的任何风险及后果。</w:t>
      </w:r>
    </w:p>
    <w:p>
      <w:pPr>
        <w:widowControl/>
        <w:spacing w:line="360" w:lineRule="auto"/>
        <w:ind w:firstLine="480" w:firstLineChars="200"/>
        <w:rPr>
          <w:rFonts w:ascii="新宋体" w:hAnsi="新宋体" w:eastAsia="新宋体" w:cs="新宋体"/>
          <w:sz w:val="24"/>
          <w:szCs w:val="24"/>
        </w:rPr>
      </w:pPr>
    </w:p>
    <w:p>
      <w:pPr>
        <w:pStyle w:val="6"/>
        <w:spacing w:line="360" w:lineRule="auto"/>
        <w:jc w:val="center"/>
        <w:rPr>
          <w:rFonts w:ascii="新宋体" w:hAnsi="新宋体" w:eastAsia="新宋体"/>
          <w:sz w:val="24"/>
          <w:szCs w:val="24"/>
        </w:rPr>
      </w:pPr>
      <w:bookmarkStart w:id="4" w:name="_Toc76031645"/>
      <w:r>
        <w:rPr>
          <w:rFonts w:hint="eastAsia" w:ascii="新宋体" w:hAnsi="新宋体" w:eastAsia="新宋体"/>
          <w:sz w:val="24"/>
          <w:szCs w:val="24"/>
        </w:rPr>
        <w:t>第三节 技术需求</w:t>
      </w:r>
      <w:bookmarkEnd w:id="4"/>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一、售后服务和要求：</w:t>
      </w:r>
      <w:r>
        <w:rPr>
          <w:rFonts w:hint="eastAsia" w:ascii="新宋体" w:hAnsi="新宋体" w:eastAsia="新宋体" w:cs="Times New Roman"/>
          <w:b w:val="0"/>
          <w:bCs w:val="0"/>
          <w:color w:val="auto"/>
          <w:sz w:val="24"/>
          <w:szCs w:val="24"/>
          <w:highlight w:val="none"/>
          <w:lang w:val="en-US" w:eastAsia="zh-CN"/>
        </w:rPr>
        <w:t>供应商应承诺无条件配合本项目后续关联项目的工作（提供承诺函，格式自拟；若虚假承诺或不按承诺履行，采购人有权取消中标资格及终止服务合同，并上报有关主管部门；供应商同时承担采购人相关损失）。</w:t>
      </w:r>
    </w:p>
    <w:p>
      <w:pPr>
        <w:pStyle w:val="7"/>
        <w:spacing w:line="360" w:lineRule="auto"/>
        <w:rPr>
          <w:rFonts w:hint="eastAsia" w:ascii="新宋体" w:hAnsi="新宋体" w:eastAsia="新宋体" w:cs="Times New Roman"/>
          <w:b/>
          <w:bCs/>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★二、实质性要求和条件</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★1.成交供应商向采购人仅限提供油品，油品包括符合国家质量标准92号、95号汽油和0号柴油，禁止提供非油品；</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★2.成交供应商协助为采购人所有车辆免费办理车辆加油卡，并做到一车一卡对号加油；</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★3.采购人车辆到成交供应商油站加油时，油站工作人员必须打印车辆加油小票，并协助督促该车驾驶员带回作为结算依据；</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★4.成交供应商每月底必须向采购人提供当月车辆加油统计明细表，月底交回采购人进行结算；</w:t>
      </w:r>
    </w:p>
    <w:p>
      <w:pPr>
        <w:pStyle w:val="7"/>
        <w:spacing w:line="360" w:lineRule="auto"/>
        <w:rPr>
          <w:rFonts w:hint="eastAsia" w:ascii="新宋体" w:hAnsi="新宋体" w:eastAsia="新宋体" w:cs="Times New Roman"/>
          <w:b w:val="0"/>
          <w:bCs w:val="0"/>
          <w:color w:val="auto"/>
          <w:sz w:val="24"/>
          <w:szCs w:val="24"/>
          <w:highlight w:val="none"/>
          <w:lang w:val="en-US" w:eastAsia="zh-CN"/>
        </w:rPr>
      </w:pPr>
      <w:r>
        <w:rPr>
          <w:rFonts w:hint="eastAsia" w:ascii="新宋体" w:hAnsi="新宋体" w:eastAsia="新宋体" w:cs="Times New Roman"/>
          <w:b w:val="0"/>
          <w:bCs w:val="0"/>
          <w:color w:val="auto"/>
          <w:sz w:val="24"/>
          <w:szCs w:val="24"/>
          <w:highlight w:val="none"/>
          <w:lang w:val="en-US" w:eastAsia="zh-CN"/>
        </w:rPr>
        <w:t>★5.成交供应商应稳定油源渠道，不停供、不断油，在油源紧张的情况下，采取有效措施，优先保证甲方公务车辆的加油。所有加油点，应配备先进设备，确保加油方便快捷，同时应确保常年昼夜联网加油服务。</w:t>
      </w:r>
    </w:p>
    <w:p>
      <w:pPr>
        <w:rPr>
          <w:rFonts w:hint="eastAsia"/>
          <w:lang w:val="en-US" w:eastAsia="zh-CN"/>
        </w:rPr>
      </w:pPr>
      <w:r>
        <w:rPr>
          <w:rFonts w:hint="eastAsia" w:ascii="新宋体" w:hAnsi="新宋体" w:eastAsia="新宋体" w:cs="Times New Roman"/>
          <w:b w:val="0"/>
          <w:bCs w:val="0"/>
          <w:color w:val="auto"/>
          <w:sz w:val="24"/>
          <w:szCs w:val="24"/>
          <w:highlight w:val="none"/>
          <w:lang w:val="en-US" w:eastAsia="zh-CN"/>
        </w:rPr>
        <w:t>★6.</w:t>
      </w:r>
      <w:r>
        <w:rPr>
          <w:rFonts w:hint="eastAsia" w:ascii="新宋体" w:hAnsi="新宋体" w:eastAsia="新宋体" w:cs="新宋体"/>
          <w:snapToGrid w:val="0"/>
          <w:color w:val="auto"/>
          <w:kern w:val="0"/>
          <w:sz w:val="24"/>
          <w:szCs w:val="24"/>
        </w:rPr>
        <w:t>提供</w:t>
      </w:r>
      <w:r>
        <w:rPr>
          <w:rFonts w:hint="eastAsia" w:ascii="新宋体" w:hAnsi="新宋体" w:eastAsia="新宋体" w:cs="新宋体"/>
          <w:snapToGrid w:val="0"/>
          <w:color w:val="auto"/>
          <w:kern w:val="0"/>
          <w:sz w:val="24"/>
          <w:szCs w:val="24"/>
          <w:lang w:val="en-US" w:eastAsia="zh-CN"/>
        </w:rPr>
        <w:t>燃油加注</w:t>
      </w:r>
      <w:r>
        <w:rPr>
          <w:rFonts w:hint="eastAsia" w:ascii="新宋体" w:hAnsi="新宋体" w:eastAsia="新宋体" w:cs="新宋体"/>
          <w:snapToGrid w:val="0"/>
          <w:color w:val="auto"/>
          <w:kern w:val="0"/>
          <w:sz w:val="24"/>
          <w:szCs w:val="24"/>
        </w:rPr>
        <w:t>场地由</w:t>
      </w:r>
      <w:r>
        <w:rPr>
          <w:rFonts w:hint="eastAsia" w:ascii="新宋体" w:hAnsi="新宋体" w:eastAsia="新宋体" w:cs="新宋体"/>
          <w:snapToGrid w:val="0"/>
          <w:color w:val="auto"/>
          <w:kern w:val="0"/>
          <w:sz w:val="24"/>
          <w:szCs w:val="24"/>
          <w:lang w:val="en-US" w:eastAsia="zh-CN"/>
        </w:rPr>
        <w:t>当地</w:t>
      </w:r>
      <w:r>
        <w:rPr>
          <w:rFonts w:hint="eastAsia" w:ascii="新宋体" w:hAnsi="新宋体" w:eastAsia="新宋体" w:cs="新宋体"/>
          <w:snapToGrid w:val="0"/>
          <w:color w:val="auto"/>
          <w:kern w:val="0"/>
          <w:sz w:val="24"/>
          <w:szCs w:val="24"/>
        </w:rPr>
        <w:t>政府主管单位部门出具的消防验收检验证明材料</w:t>
      </w:r>
    </w:p>
    <w:p>
      <w:pPr>
        <w:pStyle w:val="7"/>
        <w:spacing w:line="360" w:lineRule="auto"/>
        <w:rPr>
          <w:rFonts w:hint="default" w:ascii="新宋体" w:hAnsi="新宋体" w:eastAsia="新宋体" w:cs="Times New Roman"/>
          <w:b/>
          <w:bCs/>
          <w:color w:val="auto"/>
          <w:sz w:val="24"/>
          <w:szCs w:val="24"/>
          <w:highlight w:val="none"/>
          <w:lang w:val="en-US" w:eastAsia="zh-CN"/>
        </w:rPr>
      </w:pPr>
      <w:r>
        <w:rPr>
          <w:rFonts w:hint="eastAsia" w:ascii="新宋体" w:hAnsi="新宋体" w:eastAsia="新宋体" w:cs="Times New Roman"/>
          <w:b/>
          <w:bCs/>
          <w:color w:val="auto"/>
          <w:sz w:val="24"/>
          <w:szCs w:val="24"/>
          <w:highlight w:val="none"/>
          <w:lang w:val="en-US" w:eastAsia="zh-CN"/>
        </w:rPr>
        <w:t>备注：★条款为实质性必须满足条件，否则视为无效投标。</w:t>
      </w:r>
    </w:p>
    <w:p>
      <w:bookmarkStart w:id="5" w:name="_GoBack"/>
      <w:bookmarkEnd w:id="5"/>
    </w:p>
    <w:sectPr>
      <w:foot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712"/>
      </w:tabs>
      <w:snapToGrid w:val="0"/>
      <w:spacing w:line="360" w:lineRule="auto"/>
      <w:rPr>
        <w:lang w:val="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23224"/>
    <w:rsid w:val="00035FDC"/>
    <w:rsid w:val="000E0AD6"/>
    <w:rsid w:val="000E24B2"/>
    <w:rsid w:val="000E6446"/>
    <w:rsid w:val="001E13C0"/>
    <w:rsid w:val="002600D8"/>
    <w:rsid w:val="00263955"/>
    <w:rsid w:val="002A7053"/>
    <w:rsid w:val="00374611"/>
    <w:rsid w:val="00391D2A"/>
    <w:rsid w:val="00584311"/>
    <w:rsid w:val="00634E4A"/>
    <w:rsid w:val="00677542"/>
    <w:rsid w:val="00720994"/>
    <w:rsid w:val="00767E90"/>
    <w:rsid w:val="007A27F3"/>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087366"/>
    <w:rsid w:val="1BAC04D2"/>
    <w:rsid w:val="1CA940AB"/>
    <w:rsid w:val="272C2AAA"/>
    <w:rsid w:val="3A43493D"/>
    <w:rsid w:val="634728BF"/>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spacing w:before="340" w:after="330" w:line="578" w:lineRule="auto"/>
      <w:outlineLvl w:val="0"/>
    </w:pPr>
    <w:rPr>
      <w:kern w:val="44"/>
      <w:sz w:val="44"/>
      <w:szCs w:val="44"/>
    </w:rPr>
  </w:style>
  <w:style w:type="paragraph" w:styleId="5">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99"/>
    <w:pPr>
      <w:spacing w:before="260" w:after="260" w:line="413" w:lineRule="auto"/>
      <w:outlineLvl w:val="2"/>
    </w:pPr>
    <w:rPr>
      <w:sz w:val="32"/>
    </w:rPr>
  </w:style>
  <w:style w:type="paragraph" w:styleId="7">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10">
    <w:name w:val="heading 7"/>
    <w:basedOn w:val="1"/>
    <w:next w:val="1"/>
    <w:qFormat/>
    <w:uiPriority w:val="99"/>
    <w:pPr>
      <w:keepNext/>
      <w:keepLines/>
      <w:spacing w:before="240" w:after="64" w:line="320" w:lineRule="auto"/>
      <w:outlineLvl w:val="6"/>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11">
    <w:name w:val="annotation text"/>
    <w:basedOn w:val="1"/>
    <w:link w:val="22"/>
    <w:unhideWhenUsed/>
    <w:qFormat/>
    <w:uiPriority w:val="0"/>
    <w:pPr>
      <w:jc w:val="left"/>
    </w:pPr>
  </w:style>
  <w:style w:type="paragraph" w:styleId="12">
    <w:name w:val="footer"/>
    <w:basedOn w:val="1"/>
    <w:link w:val="17"/>
    <w:unhideWhenUsed/>
    <w:qFormat/>
    <w:uiPriority w:val="99"/>
    <w:pPr>
      <w:tabs>
        <w:tab w:val="center" w:pos="4153"/>
        <w:tab w:val="right" w:pos="8306"/>
      </w:tabs>
      <w:snapToGrid w:val="0"/>
      <w:jc w:val="left"/>
    </w:pPr>
    <w:rPr>
      <w:sz w:val="18"/>
      <w:szCs w:val="18"/>
    </w:rPr>
  </w:style>
  <w:style w:type="paragraph" w:styleId="1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页眉 Char"/>
    <w:basedOn w:val="15"/>
    <w:link w:val="13"/>
    <w:qFormat/>
    <w:uiPriority w:val="99"/>
    <w:rPr>
      <w:sz w:val="18"/>
      <w:szCs w:val="18"/>
    </w:rPr>
  </w:style>
  <w:style w:type="character" w:customStyle="1" w:styleId="17">
    <w:name w:val="页脚 Char"/>
    <w:basedOn w:val="15"/>
    <w:link w:val="12"/>
    <w:qFormat/>
    <w:uiPriority w:val="99"/>
    <w:rPr>
      <w:sz w:val="18"/>
      <w:szCs w:val="18"/>
    </w:rPr>
  </w:style>
  <w:style w:type="character" w:customStyle="1" w:styleId="18">
    <w:name w:val="列出段落 Char"/>
    <w:link w:val="19"/>
    <w:qFormat/>
    <w:locked/>
    <w:uiPriority w:val="34"/>
  </w:style>
  <w:style w:type="paragraph" w:styleId="19">
    <w:name w:val="List Paragraph"/>
    <w:basedOn w:val="1"/>
    <w:link w:val="18"/>
    <w:qFormat/>
    <w:uiPriority w:val="34"/>
    <w:pPr>
      <w:ind w:firstLine="420"/>
    </w:pPr>
  </w:style>
  <w:style w:type="paragraph" w:customStyle="1" w:styleId="20">
    <w:name w:val="正文 首行缩进:  2 字符"/>
    <w:basedOn w:val="1"/>
    <w:link w:val="21"/>
    <w:qFormat/>
    <w:uiPriority w:val="0"/>
    <w:pPr>
      <w:spacing w:line="360" w:lineRule="auto"/>
      <w:ind w:firstLine="480" w:firstLineChars="200"/>
    </w:pPr>
    <w:rPr>
      <w:rFonts w:ascii="Times New Roman" w:hAnsi="Times New Roman"/>
      <w:sz w:val="24"/>
      <w:szCs w:val="20"/>
      <w:lang w:val="zh-CN"/>
    </w:rPr>
  </w:style>
  <w:style w:type="character" w:customStyle="1" w:styleId="21">
    <w:name w:val="正文 首行缩进:  2 字符 Char"/>
    <w:link w:val="20"/>
    <w:qFormat/>
    <w:uiPriority w:val="0"/>
    <w:rPr>
      <w:rFonts w:ascii="Times New Roman" w:hAnsi="Times New Roman" w:eastAsia="宋体" w:cs="Times New Roman"/>
      <w:sz w:val="24"/>
      <w:szCs w:val="20"/>
      <w:lang w:val="zh-CN" w:eastAsia="zh-CN"/>
    </w:rPr>
  </w:style>
  <w:style w:type="character" w:customStyle="1" w:styleId="22">
    <w:name w:val="批注文字 Char"/>
    <w:link w:val="11"/>
    <w:qFormat/>
    <w:uiPriority w:val="0"/>
    <w:rPr>
      <w:rFonts w:ascii="Calibri" w:hAnsi="Calibri" w:eastAsia="宋体"/>
      <w:kern w:val="2"/>
      <w:sz w:val="21"/>
      <w:szCs w:val="22"/>
    </w:rPr>
  </w:style>
  <w:style w:type="character" w:customStyle="1" w:styleId="23">
    <w:name w:val="批注文字 字符"/>
    <w:basedOn w:val="15"/>
    <w:semiHidden/>
    <w:qFormat/>
    <w:uiPriority w:val="99"/>
    <w:rPr>
      <w:rFonts w:ascii="Calibri" w:hAnsi="Calibri" w:eastAsia="宋体"/>
      <w:kern w:val="2"/>
      <w:sz w:val="21"/>
      <w:szCs w:val="22"/>
    </w:rPr>
  </w:style>
  <w:style w:type="paragraph" w:customStyle="1" w:styleId="24">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5">
    <w:name w:val="_Style 22"/>
    <w:basedOn w:val="1"/>
    <w:next w:val="19"/>
    <w:qFormat/>
    <w:uiPriority w:val="34"/>
    <w:pPr>
      <w:ind w:firstLine="420" w:firstLineChars="200"/>
    </w:pPr>
  </w:style>
  <w:style w:type="paragraph" w:customStyle="1" w:styleId="26">
    <w:name w:val="样式 2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2984</Words>
  <Characters>3161</Characters>
  <Lines>28</Lines>
  <Paragraphs>7</Paragraphs>
  <TotalTime>0</TotalTime>
  <ScaleCrop>false</ScaleCrop>
  <LinksUpToDate>false</LinksUpToDate>
  <CharactersWithSpaces>3178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2022-10-25T08:18:52Z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