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1F" w:rsidRDefault="00B22D1F" w:rsidP="00B22D1F">
      <w:pPr>
        <w:pStyle w:val="3"/>
        <w:rPr>
          <w:rFonts w:ascii="新宋体" w:eastAsia="新宋体" w:hAnsi="新宋体"/>
          <w:kern w:val="44"/>
          <w:szCs w:val="28"/>
        </w:rPr>
      </w:pPr>
      <w:r>
        <w:rPr>
          <w:rFonts w:ascii="新宋体" w:eastAsia="新宋体" w:hAnsi="新宋体" w:hint="eastAsia"/>
          <w:kern w:val="44"/>
          <w:szCs w:val="28"/>
        </w:rPr>
        <w:t>项目技术要求</w:t>
      </w:r>
    </w:p>
    <w:p w:rsidR="00B22D1F" w:rsidRDefault="00B22D1F" w:rsidP="00B22D1F">
      <w:pPr>
        <w:spacing w:line="360" w:lineRule="auto"/>
        <w:rPr>
          <w:rFonts w:ascii="新宋体" w:eastAsia="新宋体" w:hAnsi="新宋体"/>
          <w:b/>
        </w:rPr>
      </w:pPr>
      <w:r w:rsidRPr="006777D7">
        <w:rPr>
          <w:rFonts w:ascii="新宋体" w:eastAsia="新宋体" w:hAnsi="新宋体" w:hint="eastAsia"/>
          <w:b/>
        </w:rPr>
        <w:t>具体服务要求：</w:t>
      </w:r>
    </w:p>
    <w:p w:rsidR="00B22D1F" w:rsidRPr="006777D7" w:rsidRDefault="00B22D1F" w:rsidP="00B22D1F">
      <w:pPr>
        <w:spacing w:line="360" w:lineRule="auto"/>
        <w:rPr>
          <w:rFonts w:ascii="新宋体" w:eastAsia="新宋体" w:hAnsi="新宋体"/>
        </w:rPr>
      </w:pPr>
      <w:r w:rsidRPr="006777D7">
        <w:rPr>
          <w:rFonts w:ascii="新宋体" w:eastAsia="新宋体" w:hAnsi="新宋体" w:hint="eastAsia"/>
        </w:rPr>
        <w:t>▲（1）投标人提供的网络必须为电信基础运营商的互联网专线；</w:t>
      </w:r>
    </w:p>
    <w:p w:rsidR="00B22D1F" w:rsidRPr="006777D7" w:rsidRDefault="00B22D1F" w:rsidP="00B22D1F">
      <w:pPr>
        <w:spacing w:line="360" w:lineRule="auto"/>
        <w:rPr>
          <w:rFonts w:ascii="新宋体" w:eastAsia="新宋体" w:hAnsi="新宋体"/>
        </w:rPr>
      </w:pPr>
      <w:r w:rsidRPr="006777D7">
        <w:rPr>
          <w:rFonts w:ascii="新宋体" w:eastAsia="新宋体" w:hAnsi="新宋体" w:hint="eastAsia"/>
        </w:rPr>
        <w:t>▲（2）必须为光纤接入，下行带宽不小于3G，上行带宽不小于600M。如果提供多条线路，提供不少于5个固定IP，必须为独享带宽，需提供具有带宽叠加、负载均衡的路由设备；</w:t>
      </w:r>
    </w:p>
    <w:p w:rsidR="00B22D1F" w:rsidRPr="006777D7" w:rsidRDefault="00B22D1F" w:rsidP="00B22D1F">
      <w:pPr>
        <w:spacing w:line="360" w:lineRule="auto"/>
        <w:rPr>
          <w:rFonts w:ascii="新宋体" w:eastAsia="新宋体" w:hAnsi="新宋体"/>
        </w:rPr>
      </w:pPr>
      <w:r w:rsidRPr="006777D7">
        <w:rPr>
          <w:rFonts w:ascii="新宋体" w:eastAsia="新宋体" w:hAnsi="新宋体" w:hint="eastAsia"/>
        </w:rPr>
        <w:t>▲（3）投标人提供的链路必须直连接到运营商数据网的骨干节点上，平均丢包率不高于3‰。要求用拓扑图的形式给出运营商的骨干网络，指出本次招标的光纤专线的接入点，提供并说明接入的数据节点路由设备的包交换能力、设备型号等参数；</w:t>
      </w:r>
    </w:p>
    <w:p w:rsidR="00B22D1F" w:rsidRPr="006777D7" w:rsidRDefault="00B22D1F" w:rsidP="00B22D1F">
      <w:pPr>
        <w:spacing w:line="360" w:lineRule="auto"/>
        <w:rPr>
          <w:rFonts w:ascii="新宋体" w:eastAsia="新宋体" w:hAnsi="新宋体"/>
        </w:rPr>
      </w:pPr>
      <w:r w:rsidRPr="006777D7">
        <w:rPr>
          <w:rFonts w:ascii="新宋体" w:eastAsia="新宋体" w:hAnsi="新宋体" w:hint="eastAsia"/>
        </w:rPr>
        <w:t>▲（4）投标人提供的数据链路需具有DNS 防护安全机制；</w:t>
      </w:r>
    </w:p>
    <w:p w:rsidR="00B22D1F" w:rsidRPr="006777D7" w:rsidRDefault="00B22D1F" w:rsidP="00B22D1F">
      <w:pPr>
        <w:spacing w:line="360" w:lineRule="auto"/>
        <w:rPr>
          <w:rFonts w:ascii="新宋体" w:eastAsia="新宋体" w:hAnsi="新宋体"/>
        </w:rPr>
      </w:pPr>
      <w:r w:rsidRPr="006777D7">
        <w:rPr>
          <w:rFonts w:ascii="新宋体" w:eastAsia="新宋体" w:hAnsi="新宋体" w:hint="eastAsia"/>
        </w:rPr>
        <w:t>▲（5）投标人提供的数据链路需具有防DDoS 攻击安全措施；</w:t>
      </w:r>
    </w:p>
    <w:p w:rsidR="00B22D1F" w:rsidRPr="006777D7" w:rsidRDefault="00B22D1F" w:rsidP="00B22D1F">
      <w:pPr>
        <w:spacing w:line="360" w:lineRule="auto"/>
        <w:rPr>
          <w:rFonts w:ascii="新宋体" w:eastAsia="新宋体" w:hAnsi="新宋体"/>
        </w:rPr>
      </w:pPr>
      <w:r w:rsidRPr="006777D7">
        <w:rPr>
          <w:rFonts w:ascii="新宋体" w:eastAsia="新宋体" w:hAnsi="新宋体" w:hint="eastAsia"/>
        </w:rPr>
        <w:t>▲（6）投标人提供的数据链路需具有接入互联网应用的安全隔离及安全访问机制。</w:t>
      </w:r>
    </w:p>
    <w:p w:rsidR="00B22D1F" w:rsidRDefault="00B22D1F" w:rsidP="00B22D1F">
      <w:pPr>
        <w:pStyle w:val="3"/>
        <w:rPr>
          <w:rFonts w:ascii="新宋体" w:eastAsia="新宋体" w:hAnsi="新宋体"/>
          <w:kern w:val="44"/>
          <w:szCs w:val="28"/>
        </w:rPr>
      </w:pPr>
      <w:r>
        <w:rPr>
          <w:rFonts w:ascii="新宋体" w:eastAsia="新宋体" w:hAnsi="新宋体" w:hint="eastAsia"/>
          <w:kern w:val="44"/>
          <w:szCs w:val="28"/>
        </w:rPr>
        <w:t>五、项目商务要求</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260F65">
        <w:rPr>
          <w:rFonts w:ascii="新宋体" w:eastAsia="新宋体" w:hAnsi="新宋体" w:cs="宋体" w:hint="eastAsia"/>
          <w:szCs w:val="21"/>
        </w:rPr>
        <w:t>服务期12个月，本项目为长期服务项目，服务期满后视履约情况续约，最多续约两次。</w:t>
      </w:r>
      <w:r>
        <w:rPr>
          <w:rFonts w:ascii="新宋体" w:eastAsia="新宋体" w:hAnsi="新宋体" w:cs="宋体" w:hint="eastAsia"/>
          <w:szCs w:val="21"/>
        </w:rPr>
        <w:tab/>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1、本项目中甲乙双方之间发生的一切费用均以人民币结算及支付。</w:t>
      </w:r>
    </w:p>
    <w:p w:rsidR="00B22D1F"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2、投标人与招标人完成项目验收后20个工作日内，招标人收到投标人提交的发票后，一次性支付合同的全部金额。</w:t>
      </w:r>
    </w:p>
    <w:p w:rsidR="00B22D1F" w:rsidRPr="00260F65"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（三）</w:t>
      </w:r>
      <w:r w:rsidRPr="00260F65">
        <w:rPr>
          <w:rFonts w:ascii="新宋体" w:eastAsia="新宋体" w:hAnsi="新宋体" w:cs="宋体" w:hint="eastAsia"/>
          <w:szCs w:val="21"/>
        </w:rPr>
        <w:t>实施要求</w:t>
      </w:r>
      <w:r>
        <w:rPr>
          <w:rFonts w:ascii="新宋体" w:eastAsia="新宋体" w:hAnsi="新宋体" w:cs="宋体" w:hint="eastAsia"/>
          <w:szCs w:val="21"/>
        </w:rPr>
        <w:t>：</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1、实施时间：要求于中标通知书发出之日起，中标方必须保证在15个工作日内完成接入点线路的安装、调试，开通日期按照招标方要求，租期自开通之日起计算；</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2、实施地点：深圳市</w:t>
      </w:r>
      <w:proofErr w:type="gramStart"/>
      <w:r w:rsidRPr="00260F65">
        <w:rPr>
          <w:rFonts w:ascii="新宋体" w:eastAsia="新宋体" w:hAnsi="新宋体" w:cs="宋体" w:hint="eastAsia"/>
          <w:szCs w:val="21"/>
        </w:rPr>
        <w:t>坪山区</w:t>
      </w:r>
      <w:proofErr w:type="gramEnd"/>
      <w:r w:rsidRPr="00260F65">
        <w:rPr>
          <w:rFonts w:ascii="新宋体" w:eastAsia="新宋体" w:hAnsi="新宋体" w:cs="宋体" w:hint="eastAsia"/>
          <w:szCs w:val="21"/>
        </w:rPr>
        <w:t>石井街道金田路200号深圳监狱中心机房。</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w:t>
      </w:r>
      <w:r>
        <w:rPr>
          <w:rFonts w:ascii="新宋体" w:eastAsia="新宋体" w:hAnsi="新宋体" w:cs="宋体" w:hint="eastAsia"/>
          <w:szCs w:val="21"/>
        </w:rPr>
        <w:t>四</w:t>
      </w:r>
      <w:r w:rsidRPr="00260F65">
        <w:rPr>
          <w:rFonts w:ascii="新宋体" w:eastAsia="新宋体" w:hAnsi="新宋体" w:cs="宋体" w:hint="eastAsia"/>
          <w:szCs w:val="21"/>
        </w:rPr>
        <w:t>）报价方式</w:t>
      </w:r>
      <w:r>
        <w:rPr>
          <w:rFonts w:ascii="新宋体" w:eastAsia="新宋体" w:hAnsi="新宋体" w:cs="宋体" w:hint="eastAsia"/>
          <w:szCs w:val="21"/>
        </w:rPr>
        <w:t>：</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1、本项目所有产生的全部费用，包括人力成本、交通费、项目设计各种硬件设备的租赁费及各种税费培训费等费用由中标人负责。</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2、本项目中标人提供的所有资产归中标人所有,由中标人负责维护。</w:t>
      </w:r>
    </w:p>
    <w:p w:rsidR="00B22D1F" w:rsidRPr="00260F65"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t>（</w:t>
      </w:r>
      <w:r>
        <w:rPr>
          <w:rFonts w:ascii="新宋体" w:eastAsia="新宋体" w:hAnsi="新宋体" w:cs="宋体" w:hint="eastAsia"/>
          <w:szCs w:val="21"/>
        </w:rPr>
        <w:t>五</w:t>
      </w:r>
      <w:r w:rsidRPr="00260F65">
        <w:rPr>
          <w:rFonts w:ascii="新宋体" w:eastAsia="新宋体" w:hAnsi="新宋体" w:cs="宋体" w:hint="eastAsia"/>
          <w:szCs w:val="21"/>
        </w:rPr>
        <w:t>）售后服务及后续保障</w:t>
      </w:r>
      <w:r>
        <w:rPr>
          <w:rFonts w:ascii="新宋体" w:eastAsia="新宋体" w:hAnsi="新宋体" w:cs="宋体" w:hint="eastAsia"/>
          <w:szCs w:val="21"/>
        </w:rPr>
        <w:t>：</w:t>
      </w:r>
    </w:p>
    <w:p w:rsidR="00B22D1F" w:rsidRDefault="00B22D1F" w:rsidP="00B22D1F">
      <w:pPr>
        <w:spacing w:line="360" w:lineRule="auto"/>
        <w:rPr>
          <w:rFonts w:ascii="新宋体" w:eastAsia="新宋体" w:hAnsi="新宋体" w:cs="宋体"/>
          <w:szCs w:val="21"/>
        </w:rPr>
      </w:pPr>
      <w:r w:rsidRPr="00260F65">
        <w:rPr>
          <w:rFonts w:ascii="新宋体" w:eastAsia="新宋体" w:hAnsi="新宋体" w:cs="宋体" w:hint="eastAsia"/>
          <w:szCs w:val="21"/>
        </w:rPr>
        <w:lastRenderedPageBreak/>
        <w:t>对网络实现全天候，7x24小时的实时监控，在服务期内接采购人的电话，投标人的技术服务人员需在20分钟内响应，并在1小时内赶到现场实施维修，4小时内修复故障，2天内提供书面故障检修报告。</w:t>
      </w:r>
    </w:p>
    <w:p w:rsidR="00B22D1F" w:rsidRDefault="00B22D1F" w:rsidP="00B22D1F">
      <w:pPr>
        <w:spacing w:line="360" w:lineRule="auto"/>
        <w:rPr>
          <w:rFonts w:ascii="新宋体" w:eastAsia="新宋体" w:hAnsi="新宋体" w:cs="宋体"/>
          <w:szCs w:val="21"/>
        </w:rPr>
      </w:pPr>
    </w:p>
    <w:p w:rsidR="00B22D1F" w:rsidRDefault="00B22D1F" w:rsidP="00B22D1F">
      <w:pPr>
        <w:pStyle w:val="3"/>
        <w:rPr>
          <w:rFonts w:ascii="新宋体" w:eastAsia="新宋体" w:hAnsi="新宋体"/>
          <w:kern w:val="44"/>
          <w:szCs w:val="28"/>
        </w:rPr>
      </w:pPr>
      <w:r>
        <w:rPr>
          <w:rFonts w:ascii="新宋体" w:eastAsia="新宋体" w:hAnsi="新宋体" w:hint="eastAsia"/>
          <w:kern w:val="44"/>
          <w:szCs w:val="28"/>
        </w:rPr>
        <w:t>六、投标报价</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22D1F" w:rsidRDefault="00B22D1F" w:rsidP="00B22D1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D32D6" w:rsidRPr="00B22D1F" w:rsidRDefault="008D32D6">
      <w:bookmarkStart w:id="0" w:name="_GoBack"/>
      <w:bookmarkEnd w:id="0"/>
    </w:p>
    <w:sectPr w:rsidR="008D32D6" w:rsidRPr="00B22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1F" w:rsidRDefault="00B22D1F" w:rsidP="00B22D1F">
      <w:r>
        <w:separator/>
      </w:r>
    </w:p>
  </w:endnote>
  <w:endnote w:type="continuationSeparator" w:id="0">
    <w:p w:rsidR="00B22D1F" w:rsidRDefault="00B22D1F" w:rsidP="00B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1F" w:rsidRDefault="00B22D1F" w:rsidP="00B22D1F">
      <w:r>
        <w:separator/>
      </w:r>
    </w:p>
  </w:footnote>
  <w:footnote w:type="continuationSeparator" w:id="0">
    <w:p w:rsidR="00B22D1F" w:rsidRDefault="00B22D1F" w:rsidP="00B2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49"/>
    <w:rsid w:val="00800D49"/>
    <w:rsid w:val="008D32D6"/>
    <w:rsid w:val="00B2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1F"/>
    <w:pPr>
      <w:widowControl w:val="0"/>
      <w:jc w:val="both"/>
    </w:pPr>
    <w:rPr>
      <w:rFonts w:ascii="Times New Roman" w:eastAsia="宋体" w:hAnsi="Times New Roman" w:cs="Times New Roman"/>
      <w:szCs w:val="24"/>
    </w:rPr>
  </w:style>
  <w:style w:type="paragraph" w:styleId="3">
    <w:name w:val="heading 3"/>
    <w:basedOn w:val="4"/>
    <w:next w:val="a"/>
    <w:link w:val="3Char1"/>
    <w:qFormat/>
    <w:rsid w:val="00B22D1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22D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D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2D1F"/>
    <w:rPr>
      <w:sz w:val="18"/>
      <w:szCs w:val="18"/>
    </w:rPr>
  </w:style>
  <w:style w:type="paragraph" w:styleId="a4">
    <w:name w:val="footer"/>
    <w:basedOn w:val="a"/>
    <w:link w:val="Char0"/>
    <w:uiPriority w:val="99"/>
    <w:unhideWhenUsed/>
    <w:rsid w:val="00B22D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2D1F"/>
    <w:rPr>
      <w:sz w:val="18"/>
      <w:szCs w:val="18"/>
    </w:rPr>
  </w:style>
  <w:style w:type="character" w:customStyle="1" w:styleId="3Char">
    <w:name w:val="标题 3 Char"/>
    <w:basedOn w:val="a0"/>
    <w:uiPriority w:val="9"/>
    <w:semiHidden/>
    <w:rsid w:val="00B22D1F"/>
    <w:rPr>
      <w:rFonts w:ascii="Times New Roman" w:eastAsia="宋体" w:hAnsi="Times New Roman" w:cs="Times New Roman"/>
      <w:b/>
      <w:bCs/>
      <w:sz w:val="32"/>
      <w:szCs w:val="32"/>
    </w:rPr>
  </w:style>
  <w:style w:type="character" w:customStyle="1" w:styleId="3Char1">
    <w:name w:val="标题 3 Char1"/>
    <w:link w:val="3"/>
    <w:qFormat/>
    <w:rsid w:val="00B22D1F"/>
    <w:rPr>
      <w:rFonts w:ascii="宋体" w:eastAsia="宋体" w:hAnsi="宋体" w:cs="Times New Roman"/>
      <w:b/>
      <w:bCs/>
      <w:sz w:val="28"/>
      <w:szCs w:val="32"/>
    </w:rPr>
  </w:style>
  <w:style w:type="character" w:customStyle="1" w:styleId="4Char">
    <w:name w:val="标题 4 Char"/>
    <w:basedOn w:val="a0"/>
    <w:link w:val="4"/>
    <w:uiPriority w:val="9"/>
    <w:semiHidden/>
    <w:rsid w:val="00B22D1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1F"/>
    <w:pPr>
      <w:widowControl w:val="0"/>
      <w:jc w:val="both"/>
    </w:pPr>
    <w:rPr>
      <w:rFonts w:ascii="Times New Roman" w:eastAsia="宋体" w:hAnsi="Times New Roman" w:cs="Times New Roman"/>
      <w:szCs w:val="24"/>
    </w:rPr>
  </w:style>
  <w:style w:type="paragraph" w:styleId="3">
    <w:name w:val="heading 3"/>
    <w:basedOn w:val="4"/>
    <w:next w:val="a"/>
    <w:link w:val="3Char1"/>
    <w:qFormat/>
    <w:rsid w:val="00B22D1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22D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D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2D1F"/>
    <w:rPr>
      <w:sz w:val="18"/>
      <w:szCs w:val="18"/>
    </w:rPr>
  </w:style>
  <w:style w:type="paragraph" w:styleId="a4">
    <w:name w:val="footer"/>
    <w:basedOn w:val="a"/>
    <w:link w:val="Char0"/>
    <w:uiPriority w:val="99"/>
    <w:unhideWhenUsed/>
    <w:rsid w:val="00B22D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2D1F"/>
    <w:rPr>
      <w:sz w:val="18"/>
      <w:szCs w:val="18"/>
    </w:rPr>
  </w:style>
  <w:style w:type="character" w:customStyle="1" w:styleId="3Char">
    <w:name w:val="标题 3 Char"/>
    <w:basedOn w:val="a0"/>
    <w:uiPriority w:val="9"/>
    <w:semiHidden/>
    <w:rsid w:val="00B22D1F"/>
    <w:rPr>
      <w:rFonts w:ascii="Times New Roman" w:eastAsia="宋体" w:hAnsi="Times New Roman" w:cs="Times New Roman"/>
      <w:b/>
      <w:bCs/>
      <w:sz w:val="32"/>
      <w:szCs w:val="32"/>
    </w:rPr>
  </w:style>
  <w:style w:type="character" w:customStyle="1" w:styleId="3Char1">
    <w:name w:val="标题 3 Char1"/>
    <w:link w:val="3"/>
    <w:qFormat/>
    <w:rsid w:val="00B22D1F"/>
    <w:rPr>
      <w:rFonts w:ascii="宋体" w:eastAsia="宋体" w:hAnsi="宋体" w:cs="Times New Roman"/>
      <w:b/>
      <w:bCs/>
      <w:sz w:val="28"/>
      <w:szCs w:val="32"/>
    </w:rPr>
  </w:style>
  <w:style w:type="character" w:customStyle="1" w:styleId="4Char">
    <w:name w:val="标题 4 Char"/>
    <w:basedOn w:val="a0"/>
    <w:link w:val="4"/>
    <w:uiPriority w:val="9"/>
    <w:semiHidden/>
    <w:rsid w:val="00B22D1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2022-11-11T10:19:00Z</dcterms:created>
  <dcterms:modified xsi:type="dcterms:W3CDTF">2022-11-11T10:19:00Z</dcterms:modified>
</cp:coreProperties>
</file>