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D2" w:rsidRDefault="00984FD2" w:rsidP="00984FD2">
      <w:pPr>
        <w:pStyle w:val="3"/>
        <w:rPr>
          <w:rFonts w:ascii="新宋体" w:eastAsia="新宋体" w:hAnsi="新宋体"/>
          <w:kern w:val="44"/>
          <w:szCs w:val="28"/>
        </w:rPr>
      </w:pPr>
      <w:r>
        <w:rPr>
          <w:rFonts w:ascii="新宋体" w:eastAsia="新宋体" w:hAnsi="新宋体" w:hint="eastAsia"/>
          <w:kern w:val="44"/>
          <w:szCs w:val="28"/>
        </w:rPr>
        <w:t>三、项目概况</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246D60">
        <w:rPr>
          <w:rFonts w:ascii="新宋体" w:eastAsia="新宋体" w:hAnsi="新宋体" w:cs="宋体" w:hint="eastAsia"/>
          <w:szCs w:val="21"/>
        </w:rPr>
        <w:t>人民币陆拾柒万陆仟贰佰伍拾元（676,250.00）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246D60">
        <w:rPr>
          <w:rFonts w:ascii="新宋体" w:eastAsia="新宋体" w:hAnsi="新宋体" w:cs="宋体" w:hint="eastAsia"/>
          <w:szCs w:val="21"/>
        </w:rPr>
        <w:t>人民币陆拾柒万陆仟贰佰伍拾元（676,250.00）</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984FD2" w:rsidRPr="00246D60" w:rsidRDefault="00984FD2" w:rsidP="00984FD2">
      <w:pPr>
        <w:spacing w:line="360" w:lineRule="auto"/>
        <w:ind w:firstLineChars="200" w:firstLine="420"/>
        <w:rPr>
          <w:rFonts w:ascii="新宋体" w:eastAsia="新宋体" w:hAnsi="新宋体" w:cs="宋体"/>
          <w:szCs w:val="21"/>
        </w:rPr>
      </w:pPr>
      <w:r w:rsidRPr="00246D60">
        <w:rPr>
          <w:rFonts w:ascii="新宋体" w:eastAsia="新宋体" w:hAnsi="新宋体" w:cs="宋体" w:hint="eastAsia"/>
          <w:szCs w:val="21"/>
        </w:rPr>
        <w:t>2021年9月，市委依法治市办建设了法治城市建设关键业务数据报送系统（以下简称数据报送系统），初步实现了法治城市建设业务数据采集的信息化。数据报送系统已于2022年5月通过验收，并投入使用。</w:t>
      </w:r>
    </w:p>
    <w:p w:rsidR="00984FD2" w:rsidRPr="00246D60" w:rsidRDefault="00984FD2" w:rsidP="00984FD2">
      <w:pPr>
        <w:spacing w:line="360" w:lineRule="auto"/>
        <w:ind w:firstLineChars="200" w:firstLine="420"/>
        <w:rPr>
          <w:rFonts w:ascii="新宋体" w:eastAsia="新宋体" w:hAnsi="新宋体" w:cs="宋体"/>
          <w:szCs w:val="21"/>
        </w:rPr>
      </w:pPr>
      <w:r w:rsidRPr="00246D60">
        <w:rPr>
          <w:rFonts w:ascii="新宋体" w:eastAsia="新宋体" w:hAnsi="新宋体" w:cs="宋体" w:hint="eastAsia"/>
          <w:szCs w:val="21"/>
        </w:rPr>
        <w:t>为了实现数据统计的信息化，市委依法治市办拟在数据报送系统的现有基础上进行升级，将梳理出来的170多张统计图表嵌入系统，利用报送的数据实现自动生成。</w:t>
      </w:r>
    </w:p>
    <w:p w:rsidR="00984FD2" w:rsidRDefault="00984FD2" w:rsidP="00984FD2">
      <w:pPr>
        <w:spacing w:line="360" w:lineRule="auto"/>
        <w:ind w:firstLineChars="200" w:firstLine="420"/>
        <w:rPr>
          <w:rFonts w:ascii="新宋体" w:eastAsia="新宋体" w:hAnsi="新宋体" w:cs="宋体"/>
          <w:szCs w:val="21"/>
        </w:rPr>
      </w:pPr>
      <w:r w:rsidRPr="00246D60">
        <w:rPr>
          <w:rFonts w:ascii="新宋体" w:eastAsia="新宋体" w:hAnsi="新宋体" w:cs="宋体" w:hint="eastAsia"/>
          <w:szCs w:val="21"/>
        </w:rPr>
        <w:t>本期项目是在法治建设数据报送系统基础上进行迭代，升级为法治城市建设关键业务数据采集与分析研判系统，对通过法治建设数据报送系统收集汇聚的数据进行深加工、再利用，全方位、多层次、多维度分析全市立法工作、法治政府建设工作、司法工作、法治社会建设工作的状况，为法治先行示范城市建设提供决策支撑。</w:t>
      </w:r>
    </w:p>
    <w:p w:rsidR="00984FD2" w:rsidRDefault="00984FD2" w:rsidP="00984FD2">
      <w:pPr>
        <w:rPr>
          <w:rFonts w:ascii="新宋体" w:eastAsia="新宋体" w:hAnsi="新宋体"/>
          <w:b/>
          <w:bCs/>
          <w:szCs w:val="21"/>
        </w:rPr>
      </w:pPr>
    </w:p>
    <w:p w:rsidR="00984FD2" w:rsidRDefault="00984FD2" w:rsidP="00984FD2">
      <w:pPr>
        <w:pStyle w:val="3"/>
        <w:rPr>
          <w:rFonts w:ascii="新宋体" w:eastAsia="新宋体" w:hAnsi="新宋体"/>
          <w:kern w:val="44"/>
          <w:szCs w:val="28"/>
        </w:rPr>
      </w:pPr>
      <w:r>
        <w:rPr>
          <w:rFonts w:ascii="新宋体" w:eastAsia="新宋体" w:hAnsi="新宋体" w:hint="eastAsia"/>
          <w:kern w:val="44"/>
          <w:szCs w:val="28"/>
        </w:rPr>
        <w:t>四、项目技术要求</w:t>
      </w:r>
    </w:p>
    <w:p w:rsidR="00984FD2" w:rsidRDefault="00984FD2" w:rsidP="00984FD2">
      <w:pPr>
        <w:spacing w:line="360" w:lineRule="auto"/>
        <w:rPr>
          <w:rFonts w:ascii="新宋体" w:eastAsia="新宋体" w:hAnsi="新宋体"/>
          <w:b/>
          <w:color w:val="000000"/>
          <w:kern w:val="0"/>
          <w:szCs w:val="21"/>
        </w:rPr>
      </w:pPr>
      <w:r>
        <w:rPr>
          <w:rFonts w:ascii="新宋体" w:eastAsia="新宋体" w:hAnsi="新宋体" w:hint="eastAsia"/>
          <w:b/>
          <w:color w:val="000000"/>
          <w:kern w:val="0"/>
          <w:szCs w:val="21"/>
        </w:rPr>
        <w:t>4.2 项目建设内容</w:t>
      </w:r>
    </w:p>
    <w:p w:rsidR="00984FD2" w:rsidRDefault="00984FD2" w:rsidP="00984FD2">
      <w:pPr>
        <w:spacing w:line="360" w:lineRule="auto"/>
        <w:ind w:firstLine="420"/>
        <w:rPr>
          <w:rFonts w:ascii="宋体" w:hAnsi="宋体" w:cs="宋体"/>
          <w:kern w:val="0"/>
          <w:szCs w:val="21"/>
        </w:rPr>
      </w:pPr>
      <w:r>
        <w:rPr>
          <w:rFonts w:ascii="宋体" w:hAnsi="宋体" w:cs="宋体" w:hint="eastAsia"/>
          <w:kern w:val="0"/>
          <w:szCs w:val="21"/>
        </w:rPr>
        <w:t>本次项目建设内容具体模块有系统配置管理、任务管理系统、可视化图表系统、领导看板系统。各功能模块及子系统见下表(利旧部分为法治建设数据报送系统建设内容)：</w:t>
      </w:r>
    </w:p>
    <w:tbl>
      <w:tblPr>
        <w:tblStyle w:val="a6"/>
        <w:tblW w:w="5000" w:type="pct"/>
        <w:tblLook w:val="04A0" w:firstRow="1" w:lastRow="0" w:firstColumn="1" w:lastColumn="0" w:noHBand="0" w:noVBand="1"/>
      </w:tblPr>
      <w:tblGrid>
        <w:gridCol w:w="832"/>
        <w:gridCol w:w="2408"/>
        <w:gridCol w:w="4043"/>
        <w:gridCol w:w="1239"/>
      </w:tblGrid>
      <w:tr w:rsidR="00984FD2" w:rsidTr="00063C77">
        <w:tc>
          <w:tcPr>
            <w:tcW w:w="488" w:type="pct"/>
            <w:shd w:val="clear" w:color="auto" w:fill="EEECE1" w:themeFill="background2"/>
          </w:tcPr>
          <w:p w:rsidR="00984FD2" w:rsidRDefault="00984FD2" w:rsidP="00063C77">
            <w:pPr>
              <w:spacing w:line="360" w:lineRule="auto"/>
              <w:jc w:val="center"/>
              <w:rPr>
                <w:rFonts w:ascii="宋体" w:hAnsi="宋体" w:cs="宋体"/>
                <w:b/>
                <w:bCs/>
                <w:szCs w:val="21"/>
              </w:rPr>
            </w:pPr>
            <w:r>
              <w:rPr>
                <w:rFonts w:ascii="宋体" w:hAnsi="宋体" w:cs="宋体" w:hint="eastAsia"/>
                <w:b/>
                <w:bCs/>
                <w:szCs w:val="21"/>
              </w:rPr>
              <w:t>序号</w:t>
            </w:r>
          </w:p>
        </w:tc>
        <w:tc>
          <w:tcPr>
            <w:tcW w:w="1413" w:type="pct"/>
            <w:shd w:val="clear" w:color="auto" w:fill="EEECE1" w:themeFill="background2"/>
          </w:tcPr>
          <w:p w:rsidR="00984FD2" w:rsidRDefault="00984FD2" w:rsidP="00063C77">
            <w:pPr>
              <w:spacing w:line="360" w:lineRule="auto"/>
              <w:jc w:val="center"/>
              <w:rPr>
                <w:rFonts w:ascii="宋体" w:hAnsi="宋体" w:cs="宋体"/>
                <w:b/>
                <w:bCs/>
                <w:szCs w:val="21"/>
              </w:rPr>
            </w:pPr>
            <w:r>
              <w:rPr>
                <w:rFonts w:ascii="宋体" w:hAnsi="宋体" w:cs="宋体" w:hint="eastAsia"/>
                <w:b/>
                <w:bCs/>
                <w:szCs w:val="21"/>
              </w:rPr>
              <w:t>建设系统</w:t>
            </w:r>
          </w:p>
        </w:tc>
        <w:tc>
          <w:tcPr>
            <w:tcW w:w="2372" w:type="pct"/>
            <w:shd w:val="clear" w:color="auto" w:fill="EEECE1" w:themeFill="background2"/>
          </w:tcPr>
          <w:p w:rsidR="00984FD2" w:rsidRDefault="00984FD2" w:rsidP="00063C77">
            <w:pPr>
              <w:spacing w:line="360" w:lineRule="auto"/>
              <w:jc w:val="center"/>
              <w:rPr>
                <w:rFonts w:ascii="宋体" w:hAnsi="宋体" w:cs="宋体"/>
                <w:b/>
                <w:bCs/>
                <w:szCs w:val="21"/>
              </w:rPr>
            </w:pPr>
            <w:r>
              <w:rPr>
                <w:rFonts w:ascii="宋体" w:hAnsi="宋体" w:cs="宋体" w:hint="eastAsia"/>
                <w:b/>
                <w:bCs/>
                <w:color w:val="000000"/>
                <w:szCs w:val="21"/>
              </w:rPr>
              <w:t>子系统功能模块</w:t>
            </w:r>
          </w:p>
        </w:tc>
        <w:tc>
          <w:tcPr>
            <w:tcW w:w="727" w:type="pct"/>
            <w:shd w:val="clear" w:color="auto" w:fill="EEECE1" w:themeFill="background2"/>
          </w:tcPr>
          <w:p w:rsidR="00984FD2" w:rsidRDefault="00984FD2" w:rsidP="00063C77">
            <w:pPr>
              <w:spacing w:line="360" w:lineRule="auto"/>
              <w:jc w:val="center"/>
              <w:rPr>
                <w:rFonts w:ascii="宋体" w:hAnsi="宋体" w:cs="宋体"/>
                <w:b/>
                <w:bCs/>
                <w:szCs w:val="21"/>
              </w:rPr>
            </w:pPr>
            <w:r>
              <w:rPr>
                <w:rFonts w:ascii="宋体" w:hAnsi="宋体" w:cs="宋体" w:hint="eastAsia"/>
                <w:b/>
                <w:bCs/>
                <w:szCs w:val="21"/>
              </w:rPr>
              <w:t>备注</w:t>
            </w:r>
          </w:p>
        </w:tc>
      </w:tr>
      <w:tr w:rsidR="00984FD2" w:rsidTr="00063C77">
        <w:trPr>
          <w:trHeight w:val="90"/>
        </w:trPr>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w:t>
            </w:r>
          </w:p>
        </w:tc>
        <w:tc>
          <w:tcPr>
            <w:tcW w:w="1413" w:type="pct"/>
            <w:vMerge w:val="restart"/>
          </w:tcPr>
          <w:p w:rsidR="00984FD2" w:rsidRDefault="00984FD2" w:rsidP="00063C77">
            <w:pPr>
              <w:spacing w:line="360" w:lineRule="auto"/>
              <w:jc w:val="center"/>
              <w:rPr>
                <w:rFonts w:ascii="宋体" w:hAnsi="宋体" w:cs="宋体"/>
                <w:szCs w:val="21"/>
              </w:rPr>
            </w:pPr>
            <w:r>
              <w:rPr>
                <w:rFonts w:ascii="宋体" w:hAnsi="宋体" w:cs="宋体" w:hint="eastAsia"/>
                <w:szCs w:val="21"/>
              </w:rPr>
              <w:t>系统主页</w:t>
            </w: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待办任务详情</w:t>
            </w:r>
          </w:p>
        </w:tc>
        <w:tc>
          <w:tcPr>
            <w:tcW w:w="727" w:type="pct"/>
          </w:tcPr>
          <w:p w:rsidR="00984FD2" w:rsidRDefault="00984FD2" w:rsidP="00063C77">
            <w:pPr>
              <w:spacing w:line="360" w:lineRule="auto"/>
              <w:jc w:val="center"/>
              <w:rPr>
                <w:rFonts w:ascii="宋体" w:hAnsi="宋体" w:cs="宋体"/>
                <w:color w:val="00B050"/>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系统提醒</w:t>
            </w:r>
          </w:p>
        </w:tc>
        <w:tc>
          <w:tcPr>
            <w:tcW w:w="727" w:type="pct"/>
          </w:tcPr>
          <w:p w:rsidR="00984FD2" w:rsidRDefault="00984FD2" w:rsidP="00063C77">
            <w:pPr>
              <w:spacing w:line="360" w:lineRule="auto"/>
              <w:jc w:val="center"/>
              <w:rPr>
                <w:rFonts w:ascii="宋体" w:hAnsi="宋体" w:cs="宋体"/>
                <w:color w:val="00B050"/>
                <w:szCs w:val="21"/>
              </w:rPr>
            </w:pPr>
          </w:p>
        </w:tc>
      </w:tr>
      <w:tr w:rsidR="00984FD2" w:rsidTr="00063C77">
        <w:tc>
          <w:tcPr>
            <w:tcW w:w="488" w:type="pct"/>
            <w:vAlign w:val="center"/>
          </w:tcPr>
          <w:p w:rsidR="00984FD2" w:rsidRDefault="00984FD2" w:rsidP="00063C77">
            <w:pPr>
              <w:widowControl/>
              <w:spacing w:line="360" w:lineRule="auto"/>
              <w:ind w:left="32"/>
              <w:jc w:val="center"/>
              <w:rPr>
                <w:rFonts w:ascii="宋体" w:hAnsi="宋体" w:cs="宋体"/>
                <w:szCs w:val="21"/>
              </w:rPr>
            </w:pPr>
            <w:r>
              <w:rPr>
                <w:rFonts w:ascii="宋体" w:hAnsi="宋体" w:cs="宋体" w:hint="eastAsia"/>
                <w:szCs w:val="21"/>
              </w:rPr>
              <w:t>3</w:t>
            </w:r>
          </w:p>
        </w:tc>
        <w:tc>
          <w:tcPr>
            <w:tcW w:w="1413" w:type="pct"/>
            <w:vMerge w:val="restart"/>
            <w:vAlign w:val="center"/>
          </w:tcPr>
          <w:p w:rsidR="00984FD2" w:rsidRDefault="00984FD2" w:rsidP="00063C77">
            <w:pPr>
              <w:widowControl/>
              <w:spacing w:line="360" w:lineRule="auto"/>
              <w:ind w:left="32"/>
              <w:jc w:val="center"/>
              <w:rPr>
                <w:rFonts w:ascii="宋体" w:hAnsi="宋体" w:cs="宋体"/>
                <w:szCs w:val="21"/>
              </w:rPr>
            </w:pPr>
            <w:r>
              <w:rPr>
                <w:rFonts w:ascii="宋体" w:hAnsi="宋体" w:cs="宋体" w:hint="eastAsia"/>
                <w:szCs w:val="21"/>
              </w:rPr>
              <w:t>法治建设数据库</w:t>
            </w: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人大立法和法律监督库</w:t>
            </w:r>
          </w:p>
        </w:tc>
        <w:tc>
          <w:tcPr>
            <w:tcW w:w="727" w:type="pct"/>
          </w:tcPr>
          <w:p w:rsidR="00984FD2" w:rsidRDefault="00984FD2" w:rsidP="00063C77">
            <w:pPr>
              <w:spacing w:line="360" w:lineRule="auto"/>
              <w:jc w:val="center"/>
              <w:rPr>
                <w:rFonts w:ascii="宋体" w:hAnsi="宋体" w:cs="宋体"/>
                <w:color w:val="00B050"/>
                <w:szCs w:val="21"/>
              </w:rPr>
            </w:pPr>
            <w:r>
              <w:rPr>
                <w:rFonts w:ascii="宋体" w:hAnsi="宋体" w:cs="宋体" w:hint="eastAsia"/>
                <w:szCs w:val="21"/>
              </w:rPr>
              <w:t>利旧</w:t>
            </w:r>
          </w:p>
        </w:tc>
      </w:tr>
      <w:tr w:rsidR="00984FD2" w:rsidTr="00063C77">
        <w:tc>
          <w:tcPr>
            <w:tcW w:w="488" w:type="pct"/>
            <w:vAlign w:val="center"/>
          </w:tcPr>
          <w:p w:rsidR="00984FD2" w:rsidRDefault="00984FD2" w:rsidP="00063C77">
            <w:pPr>
              <w:widowControl/>
              <w:spacing w:line="360" w:lineRule="auto"/>
              <w:ind w:left="32"/>
              <w:jc w:val="center"/>
              <w:rPr>
                <w:rFonts w:ascii="宋体" w:hAnsi="宋体" w:cs="宋体"/>
                <w:szCs w:val="21"/>
              </w:rPr>
            </w:pPr>
            <w:r>
              <w:rPr>
                <w:rFonts w:ascii="宋体" w:hAnsi="宋体" w:cs="宋体" w:hint="eastAsia"/>
                <w:szCs w:val="21"/>
              </w:rPr>
              <w:t>4</w:t>
            </w:r>
          </w:p>
        </w:tc>
        <w:tc>
          <w:tcPr>
            <w:tcW w:w="1413" w:type="pct"/>
            <w:vMerge/>
            <w:vAlign w:val="center"/>
          </w:tcPr>
          <w:p w:rsidR="00984FD2" w:rsidRDefault="00984FD2" w:rsidP="00063C77">
            <w:pPr>
              <w:widowControl/>
              <w:spacing w:line="360" w:lineRule="auto"/>
              <w:ind w:left="32"/>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法治政府建设库</w:t>
            </w:r>
          </w:p>
        </w:tc>
        <w:tc>
          <w:tcPr>
            <w:tcW w:w="727" w:type="pct"/>
          </w:tcPr>
          <w:p w:rsidR="00984FD2" w:rsidRDefault="00984FD2" w:rsidP="00063C77">
            <w:pPr>
              <w:spacing w:line="360" w:lineRule="auto"/>
              <w:jc w:val="center"/>
              <w:rPr>
                <w:rFonts w:ascii="宋体" w:hAnsi="宋体" w:cs="宋体"/>
                <w:color w:val="00B050"/>
                <w:szCs w:val="21"/>
              </w:rPr>
            </w:pPr>
            <w:r>
              <w:rPr>
                <w:rFonts w:ascii="宋体" w:hAnsi="宋体" w:cs="宋体" w:hint="eastAsia"/>
                <w:szCs w:val="21"/>
              </w:rPr>
              <w:t>利旧</w:t>
            </w:r>
          </w:p>
        </w:tc>
      </w:tr>
      <w:tr w:rsidR="00984FD2" w:rsidTr="00063C77">
        <w:tc>
          <w:tcPr>
            <w:tcW w:w="488" w:type="pct"/>
            <w:vAlign w:val="center"/>
          </w:tcPr>
          <w:p w:rsidR="00984FD2" w:rsidRDefault="00984FD2" w:rsidP="00063C77">
            <w:pPr>
              <w:widowControl/>
              <w:spacing w:line="360" w:lineRule="auto"/>
              <w:ind w:left="32"/>
              <w:jc w:val="center"/>
              <w:rPr>
                <w:rFonts w:ascii="宋体" w:hAnsi="宋体" w:cs="宋体"/>
                <w:szCs w:val="21"/>
              </w:rPr>
            </w:pPr>
            <w:r>
              <w:rPr>
                <w:rFonts w:ascii="宋体" w:hAnsi="宋体" w:cs="宋体" w:hint="eastAsia"/>
                <w:szCs w:val="21"/>
              </w:rPr>
              <w:t>5</w:t>
            </w:r>
          </w:p>
        </w:tc>
        <w:tc>
          <w:tcPr>
            <w:tcW w:w="1413" w:type="pct"/>
            <w:vMerge/>
            <w:vAlign w:val="center"/>
          </w:tcPr>
          <w:p w:rsidR="00984FD2" w:rsidRDefault="00984FD2" w:rsidP="00063C77">
            <w:pPr>
              <w:widowControl/>
              <w:spacing w:line="360" w:lineRule="auto"/>
              <w:ind w:left="32"/>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检察院与法院工作库</w:t>
            </w:r>
          </w:p>
        </w:tc>
        <w:tc>
          <w:tcPr>
            <w:tcW w:w="727" w:type="pct"/>
          </w:tcPr>
          <w:p w:rsidR="00984FD2" w:rsidRDefault="00984FD2" w:rsidP="00063C77">
            <w:pPr>
              <w:spacing w:line="360" w:lineRule="auto"/>
              <w:jc w:val="center"/>
              <w:rPr>
                <w:rFonts w:ascii="宋体" w:hAnsi="宋体" w:cs="宋体"/>
                <w:color w:val="00B050"/>
                <w:szCs w:val="21"/>
              </w:rPr>
            </w:pPr>
            <w:r>
              <w:rPr>
                <w:rFonts w:ascii="宋体" w:hAnsi="宋体" w:cs="宋体" w:hint="eastAsia"/>
                <w:szCs w:val="21"/>
              </w:rPr>
              <w:t>利旧</w:t>
            </w:r>
          </w:p>
        </w:tc>
      </w:tr>
      <w:tr w:rsidR="00984FD2" w:rsidTr="00063C77">
        <w:tc>
          <w:tcPr>
            <w:tcW w:w="488" w:type="pct"/>
            <w:vAlign w:val="center"/>
          </w:tcPr>
          <w:p w:rsidR="00984FD2" w:rsidRDefault="00984FD2" w:rsidP="00063C77">
            <w:pPr>
              <w:widowControl/>
              <w:spacing w:line="360" w:lineRule="auto"/>
              <w:ind w:left="32"/>
              <w:jc w:val="center"/>
              <w:rPr>
                <w:rFonts w:ascii="宋体" w:hAnsi="宋体" w:cs="宋体"/>
                <w:szCs w:val="21"/>
              </w:rPr>
            </w:pPr>
            <w:r>
              <w:rPr>
                <w:rFonts w:ascii="宋体" w:hAnsi="宋体" w:cs="宋体" w:hint="eastAsia"/>
                <w:szCs w:val="21"/>
              </w:rPr>
              <w:t>6</w:t>
            </w:r>
          </w:p>
        </w:tc>
        <w:tc>
          <w:tcPr>
            <w:tcW w:w="1413" w:type="pct"/>
            <w:vMerge/>
            <w:vAlign w:val="center"/>
          </w:tcPr>
          <w:p w:rsidR="00984FD2" w:rsidRDefault="00984FD2" w:rsidP="00063C77">
            <w:pPr>
              <w:widowControl/>
              <w:spacing w:line="360" w:lineRule="auto"/>
              <w:ind w:left="32"/>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法治社会建设库</w:t>
            </w:r>
          </w:p>
        </w:tc>
        <w:tc>
          <w:tcPr>
            <w:tcW w:w="727" w:type="pct"/>
          </w:tcPr>
          <w:p w:rsidR="00984FD2" w:rsidRDefault="00984FD2" w:rsidP="00063C77">
            <w:pPr>
              <w:spacing w:line="360" w:lineRule="auto"/>
              <w:jc w:val="center"/>
              <w:rPr>
                <w:rFonts w:ascii="宋体" w:hAnsi="宋体" w:cs="宋体"/>
                <w:color w:val="00B050"/>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7</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信息上报</w:t>
            </w: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信息录入导入</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8</w:t>
            </w:r>
          </w:p>
        </w:tc>
        <w:tc>
          <w:tcPr>
            <w:tcW w:w="1413" w:type="pct"/>
            <w:vMerge/>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信息更新</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lastRenderedPageBreak/>
              <w:t>9</w:t>
            </w:r>
          </w:p>
        </w:tc>
        <w:tc>
          <w:tcPr>
            <w:tcW w:w="1413" w:type="pct"/>
            <w:vMerge/>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信息审核</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10</w:t>
            </w:r>
          </w:p>
        </w:tc>
        <w:tc>
          <w:tcPr>
            <w:tcW w:w="1413" w:type="pct"/>
            <w:vMerge/>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信息查询</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11</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信息归档</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12</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信息管理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rPr>
          <w:trHeight w:val="90"/>
        </w:trPr>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13</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上报规范说明管理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14</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信息特殊情况说明</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15</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上报数据规范性校验</w:t>
            </w:r>
          </w:p>
        </w:tc>
        <w:tc>
          <w:tcPr>
            <w:tcW w:w="727" w:type="pct"/>
          </w:tcPr>
          <w:p w:rsidR="00984FD2" w:rsidRDefault="00984FD2" w:rsidP="00063C77">
            <w:pPr>
              <w:spacing w:line="360" w:lineRule="auto"/>
              <w:jc w:val="center"/>
              <w:rPr>
                <w:rFonts w:ascii="宋体" w:hAnsi="宋体" w:cs="宋体"/>
                <w:szCs w:val="21"/>
              </w:rPr>
            </w:pPr>
          </w:p>
        </w:tc>
      </w:tr>
      <w:tr w:rsidR="00984FD2" w:rsidTr="00063C77">
        <w:trPr>
          <w:trHeight w:val="90"/>
        </w:trPr>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16</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系统配置管理</w:t>
            </w: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短信管理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17</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填报周期管理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18</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任务管理</w:t>
            </w: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任务分类管理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19</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任务综合管理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20</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任务一键跳转</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21</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任务督办管理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22</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消息模板管理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23</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消息记录管理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24</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日志管理</w:t>
            </w: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日志生成</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25</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日志搜索服务</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26</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表单管理</w:t>
            </w: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表单目录管理</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27</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表单行列管理</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28</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表单版本管理</w:t>
            </w:r>
          </w:p>
        </w:tc>
        <w:tc>
          <w:tcPr>
            <w:tcW w:w="727"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29</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填报说明管理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30</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表单权限管理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31</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可视化图表管理</w:t>
            </w: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图表库</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32</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图表设计</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33</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图表模板管理</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34</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图表数据接口服务</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35</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可视化图表编排</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36</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领导看板</w:t>
            </w: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人大立法和法律监督统计一张图</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37</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法治政府建设统计一张图</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lastRenderedPageBreak/>
              <w:t>38</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left="32"/>
              <w:jc w:val="center"/>
              <w:rPr>
                <w:rFonts w:ascii="宋体" w:hAnsi="宋体" w:cs="宋体"/>
                <w:szCs w:val="21"/>
              </w:rPr>
            </w:pPr>
            <w:r>
              <w:rPr>
                <w:rFonts w:ascii="宋体" w:hAnsi="宋体" w:cs="宋体" w:hint="eastAsia"/>
                <w:szCs w:val="21"/>
              </w:rPr>
              <w:t>检察院与法院工作统计一张图</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39</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vAlign w:val="center"/>
          </w:tcPr>
          <w:p w:rsidR="00984FD2" w:rsidRDefault="00984FD2" w:rsidP="00063C77">
            <w:pPr>
              <w:ind w:right="240"/>
              <w:jc w:val="center"/>
              <w:rPr>
                <w:rFonts w:ascii="宋体" w:hAnsi="宋体" w:cs="宋体"/>
                <w:szCs w:val="21"/>
              </w:rPr>
            </w:pPr>
            <w:r>
              <w:rPr>
                <w:rFonts w:ascii="宋体" w:hAnsi="宋体" w:cs="宋体" w:hint="eastAsia"/>
                <w:szCs w:val="21"/>
              </w:rPr>
              <w:t>法治社会建设统计一张图</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r>
              <w:rPr>
                <w:rFonts w:ascii="宋体" w:hAnsi="宋体" w:cs="宋体" w:hint="eastAsia"/>
                <w:szCs w:val="21"/>
              </w:rPr>
              <w:t>利旧</w:t>
            </w: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40</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数据信息看板</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41</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统计信息看板</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42</w:t>
            </w:r>
          </w:p>
        </w:tc>
        <w:tc>
          <w:tcPr>
            <w:tcW w:w="1413" w:type="pct"/>
            <w:vMerge w:val="restart"/>
            <w:vAlign w:val="center"/>
          </w:tcPr>
          <w:p w:rsidR="00984FD2" w:rsidRDefault="00984FD2" w:rsidP="00063C77">
            <w:pPr>
              <w:spacing w:line="360" w:lineRule="auto"/>
              <w:jc w:val="center"/>
              <w:rPr>
                <w:rFonts w:ascii="宋体" w:hAnsi="宋体" w:cs="宋体"/>
                <w:szCs w:val="21"/>
              </w:rPr>
            </w:pPr>
            <w:r>
              <w:rPr>
                <w:rFonts w:ascii="宋体" w:hAnsi="宋体" w:cs="宋体" w:hint="eastAsia"/>
                <w:szCs w:val="21"/>
              </w:rPr>
              <w:t>数据报送表单（法治政府建设、</w:t>
            </w:r>
          </w:p>
          <w:p w:rsidR="00984FD2" w:rsidRDefault="00984FD2" w:rsidP="00063C77">
            <w:pPr>
              <w:spacing w:line="360" w:lineRule="auto"/>
              <w:jc w:val="center"/>
              <w:rPr>
                <w:rFonts w:ascii="宋体" w:hAnsi="宋体" w:cs="宋体"/>
                <w:szCs w:val="21"/>
              </w:rPr>
            </w:pPr>
            <w:r>
              <w:rPr>
                <w:rFonts w:ascii="宋体" w:hAnsi="宋体" w:cs="宋体" w:hint="eastAsia"/>
                <w:szCs w:val="21"/>
              </w:rPr>
              <w:t>检察院与法院工作、</w:t>
            </w:r>
          </w:p>
          <w:p w:rsidR="00984FD2" w:rsidRDefault="00984FD2" w:rsidP="00063C77">
            <w:pPr>
              <w:spacing w:line="360" w:lineRule="auto"/>
              <w:jc w:val="center"/>
              <w:rPr>
                <w:rFonts w:ascii="宋体" w:hAnsi="宋体" w:cs="宋体"/>
                <w:szCs w:val="21"/>
              </w:rPr>
            </w:pPr>
            <w:r>
              <w:rPr>
                <w:rFonts w:ascii="宋体" w:hAnsi="宋体" w:cs="宋体" w:hint="eastAsia"/>
                <w:szCs w:val="21"/>
              </w:rPr>
              <w:t>法治社会建设）</w:t>
            </w: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行政处罚（罚款）</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43</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行政处罚（吊销证件）</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44</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行政强制</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45</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政府信息公开</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46</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12345政务服务热线投诉</w:t>
            </w:r>
          </w:p>
        </w:tc>
        <w:tc>
          <w:tcPr>
            <w:tcW w:w="727" w:type="pct"/>
          </w:tcPr>
          <w:p w:rsidR="00984FD2" w:rsidRDefault="00984FD2" w:rsidP="00063C77">
            <w:pPr>
              <w:spacing w:line="360" w:lineRule="auto"/>
              <w:jc w:val="center"/>
              <w:rPr>
                <w:rFonts w:ascii="宋体" w:hAnsi="宋体" w:cs="宋体"/>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47</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法院审判、执行工作总体情况</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rPr>
          <w:trHeight w:val="90"/>
        </w:trPr>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48</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二审发回重审和改判细数据</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49</w:t>
            </w:r>
          </w:p>
        </w:tc>
        <w:tc>
          <w:tcPr>
            <w:tcW w:w="1413" w:type="pct"/>
            <w:vMerge/>
            <w:vAlign w:val="center"/>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信访工作（转各单位办理情况）</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50</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公证工作情况（法定机构公证处）</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51</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公证工作情况（合作制公证处）</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52</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各区律师工作情况</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r w:rsidR="00984FD2" w:rsidTr="00063C77">
        <w:tc>
          <w:tcPr>
            <w:tcW w:w="488"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53</w:t>
            </w:r>
          </w:p>
        </w:tc>
        <w:tc>
          <w:tcPr>
            <w:tcW w:w="1413" w:type="pct"/>
            <w:vMerge/>
          </w:tcPr>
          <w:p w:rsidR="00984FD2" w:rsidRDefault="00984FD2" w:rsidP="00063C77">
            <w:pPr>
              <w:spacing w:line="360" w:lineRule="auto"/>
              <w:jc w:val="center"/>
              <w:rPr>
                <w:rFonts w:ascii="宋体" w:hAnsi="宋体" w:cs="宋体"/>
                <w:szCs w:val="21"/>
              </w:rPr>
            </w:pPr>
          </w:p>
        </w:tc>
        <w:tc>
          <w:tcPr>
            <w:tcW w:w="2372" w:type="pct"/>
          </w:tcPr>
          <w:p w:rsidR="00984FD2" w:rsidRDefault="00984FD2" w:rsidP="00063C77">
            <w:pPr>
              <w:spacing w:line="360" w:lineRule="auto"/>
              <w:jc w:val="center"/>
              <w:rPr>
                <w:rFonts w:ascii="宋体" w:hAnsi="宋体" w:cs="宋体"/>
                <w:szCs w:val="21"/>
              </w:rPr>
            </w:pPr>
            <w:r>
              <w:rPr>
                <w:rFonts w:ascii="宋体" w:hAnsi="宋体" w:cs="宋体" w:hint="eastAsia"/>
                <w:szCs w:val="21"/>
              </w:rPr>
              <w:t>派驻村社区法律顾问队伍及工作情况</w:t>
            </w:r>
          </w:p>
        </w:tc>
        <w:tc>
          <w:tcPr>
            <w:tcW w:w="727" w:type="pct"/>
          </w:tcPr>
          <w:p w:rsidR="00984FD2" w:rsidRDefault="00984FD2" w:rsidP="00063C77">
            <w:pPr>
              <w:spacing w:line="360" w:lineRule="auto"/>
              <w:jc w:val="center"/>
              <w:rPr>
                <w:rFonts w:ascii="宋体" w:hAnsi="宋体" w:cs="宋体"/>
                <w:color w:val="943634" w:themeColor="accent2" w:themeShade="BF"/>
                <w:szCs w:val="21"/>
              </w:rPr>
            </w:pPr>
          </w:p>
        </w:tc>
      </w:tr>
    </w:tbl>
    <w:p w:rsidR="00984FD2" w:rsidRPr="00CF42AC" w:rsidRDefault="00984FD2" w:rsidP="00984FD2">
      <w:pPr>
        <w:rPr>
          <w:rFonts w:ascii="新宋体" w:eastAsia="新宋体" w:hAnsi="新宋体"/>
          <w:b/>
        </w:rPr>
      </w:pP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4.2.1 系统主页</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系统主页是用户登录成功后，根据用户的权限范围，加载用户相对应的数据信息及智能提醒，如待办任务，系统提示。本模块是在第一期的基础上进行优化和增加模块，包含模块有在主页上能查看待办任务详情，主页上能进行系统的综合信息提醒。</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4.2.2 信息上报</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汇集全市各职能部门一段时间范围内的工作情况数据，主要处理数据上报过程中的业务流程，如上报、审核、退回、重审等。本模块是在第一期的基础上进行扩展模块，包含模块有信息归档、信息管理、上报规范说明管理、信息特殊情况说明、上报数据规范性校验、数据校验消息提示。</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4.2.3 系统配置管理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系统配置是解决用户在使用系统过程中能更好的维护和管理相关业务功能的灵活变化要求，具体模块有短信配置管理、填报周期配置管理。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4.2.4 任务管理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lastRenderedPageBreak/>
        <w:t>任务管理模板是在数据上报过程产生需要审核、退回审核、重审的人员，以及未报送数据单位的人员以任务的方式进行下发通知，结合系统的智能提醒、定期检查的方式进行监督与催办，具体模块有任务分类管理、任务综合管理、任务一键跳转、任务督办管理、消息模板管理、消息记录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4.2.5 日志管理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对系统的操作痕迹进行全过程留痕管理，模块功能包含日志生成、日志搜索。</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4.2.6 表单管理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对全市各职务部门的数据表单进行管理，如表单的展现形式、表单的字段、表单的规范说明等，本模块在第一期的基础上进行扩展模块，增加的模块有填报说明管理、表单权限管理。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4.2.7 可视化图表管理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对数据展示、数据统计、数据分析的各类图表进行管理，结合数据查询服务模块以及可视化设计工具，通过自定义配置方式对图表进行调整，如图表颜色、字体大小、间距等。具体模块有图表库、图表设计工具、图表数据接口服务、可视化图表编排、图表模板管理。</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4.2.7.1 图表库</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图表库包含系统大屏需求统计分析图表以及白皮书需要的图形图表，含一套与可视化工具应用结合的图表解析引擎。图表解析引擎支持解析的图形有饼图、环形图、柱状图、折线图、雷达图、仪表图、组合图等</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4.2.7.2 图表设计</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通过可视化界面，实现对图表的定制化编排，支持对饼图、环形图、柱状图、折线图、雷达图、仪表图、组合图的图形颜色、字体大小、间距、网格线、标题、样式进行自定义编排，为图表模板管理应用提供支撑。具体功能有渲染、预览、样式配置等功能。</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4.2.7.3 图表模板管理</w:t>
      </w:r>
    </w:p>
    <w:p w:rsidR="00984FD2" w:rsidRDefault="00984FD2" w:rsidP="00984FD2">
      <w:pPr>
        <w:spacing w:line="360" w:lineRule="auto"/>
      </w:pPr>
      <w:r>
        <w:rPr>
          <w:rFonts w:ascii="新宋体" w:eastAsia="新宋体" w:hAnsi="新宋体" w:hint="eastAsia"/>
          <w:bCs/>
          <w:szCs w:val="21"/>
        </w:rPr>
        <w:t>图表模块管理是实现对系统展示图表以及白皮书图形图表的模板（含160多个模板）进行存储管理，方便图表的二次使用，应用在每年的白皮书制作与系统需要图表展示的模块，具体功能有新增、编辑、搜索查看、预览、下载/导出等功能。</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4.2.7.4 数据接口服务</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根据系统统计分析要求以及白皮书图形图表的统计分析要求，系统需要对图表所需要的数据进行接口实现，具个接口包含人大立法和法律监督、法治政府建设、检察院工作、法律社会建设四类，共70多个接口。具体功能有查询、校验功能。</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lastRenderedPageBreak/>
        <w:t>4.2.7.5 可视化图表编排</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可视化图表编排是对系统统计分析要求的图表以及白皮书统计分析要求的图形进行编排，支持对图表的数据项和界面进行编辑，数据项来源可通过选择数据接口服务接口进行关联，也可手动输入数据项，界面编辑通过可视化设计工具进行编排，从而生成实时的、动态的、多样的图形图表，应用在图表模板管理新增、编辑、预览模块中，具体功能有接口查询、数据关联、数据拆解。</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4.2.8 领导看板</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为领导提供一套定制化的数据展示界面，包含模块有数据信息看板、统计信息看板。</w:t>
      </w:r>
    </w:p>
    <w:p w:rsidR="00984FD2" w:rsidRDefault="00984FD2" w:rsidP="00984FD2">
      <w:pPr>
        <w:spacing w:line="360" w:lineRule="auto"/>
        <w:ind w:firstLine="420"/>
        <w:rPr>
          <w:rFonts w:ascii="新宋体" w:eastAsia="新宋体" w:hAnsi="新宋体"/>
          <w:bCs/>
          <w:szCs w:val="21"/>
        </w:rPr>
      </w:pPr>
      <w:r>
        <w:rPr>
          <w:rFonts w:ascii="新宋体" w:eastAsia="新宋体" w:hAnsi="新宋体" w:hint="eastAsia"/>
          <w:bCs/>
          <w:szCs w:val="21"/>
        </w:rPr>
        <w:t>4.2.9 数据报送表单</w:t>
      </w:r>
    </w:p>
    <w:p w:rsidR="00984FD2" w:rsidRDefault="00984FD2" w:rsidP="00984FD2">
      <w:pPr>
        <w:spacing w:line="360" w:lineRule="auto"/>
        <w:ind w:firstLine="420"/>
        <w:rPr>
          <w:rFonts w:ascii="新宋体" w:eastAsia="新宋体" w:hAnsi="新宋体"/>
          <w:b/>
          <w:szCs w:val="21"/>
        </w:rPr>
      </w:pPr>
      <w:r>
        <w:rPr>
          <w:rFonts w:ascii="新宋体" w:eastAsia="新宋体" w:hAnsi="新宋体" w:hint="eastAsia"/>
          <w:bCs/>
          <w:szCs w:val="21"/>
        </w:rPr>
        <w:t>对全市各部门的数据报送表单进行管理，本模块在第一期的基础上进行扩展模块，具体表单有行政处罚（罚款）、行政处罚（吊销证件）、行政强制、政府信息公开、12345政务服务热线投诉、法院审判、执行工作总体情况、二审发回重审和改判细数据、信访工作（转各单位办理情况）、公证工作情况（法定机构公证处）、公证工作情况（合作制公证处）、各区律师工作情况、派驻村社区法律顾问队伍及工作情况。</w:t>
      </w:r>
    </w:p>
    <w:p w:rsidR="00984FD2" w:rsidRDefault="00984FD2" w:rsidP="00984FD2">
      <w:pPr>
        <w:spacing w:line="360" w:lineRule="auto"/>
        <w:ind w:firstLine="420"/>
        <w:rPr>
          <w:rFonts w:ascii="新宋体" w:eastAsia="新宋体" w:hAnsi="新宋体"/>
          <w:b/>
          <w:szCs w:val="21"/>
        </w:rPr>
      </w:pPr>
      <w:r>
        <w:rPr>
          <w:rFonts w:ascii="新宋体" w:eastAsia="新宋体" w:hAnsi="新宋体" w:hint="eastAsia"/>
          <w:b/>
          <w:szCs w:val="21"/>
        </w:rPr>
        <w:t>4.3 本项目实施总体要求</w:t>
      </w:r>
    </w:p>
    <w:p w:rsidR="00984FD2" w:rsidRDefault="00984FD2" w:rsidP="00984FD2">
      <w:pPr>
        <w:spacing w:line="360" w:lineRule="auto"/>
        <w:ind w:firstLine="420"/>
        <w:rPr>
          <w:rFonts w:ascii="新宋体" w:eastAsia="新宋体" w:hAnsi="新宋体"/>
          <w:szCs w:val="21"/>
          <w:lang w:val="zh-CN"/>
        </w:rPr>
      </w:pPr>
      <w:r>
        <w:rPr>
          <w:rFonts w:ascii="新宋体" w:eastAsia="新宋体" w:hAnsi="新宋体" w:hint="eastAsia"/>
          <w:szCs w:val="21"/>
        </w:rPr>
        <w:t>本项目所指软件迭代升级服务</w:t>
      </w:r>
      <w:r>
        <w:rPr>
          <w:rFonts w:ascii="新宋体" w:eastAsia="新宋体" w:hAnsi="新宋体" w:hint="eastAsia"/>
          <w:szCs w:val="21"/>
          <w:lang w:val="zh-CN"/>
        </w:rPr>
        <w:t>系指中标人按合同和招标文件要求，根据采购单位项目建设总体规划，确定迭代方案设计以及软件开发，包括升级实施方案，功能测试方案、系统运行维护方案和验收方案等，提供相配套的全部应用软件源代码，光盘材料和纸质材料及安装、调试、验收、技术支持和交付使用后质保期内应履行的售后服务等义务。</w:t>
      </w:r>
    </w:p>
    <w:p w:rsidR="00984FD2" w:rsidRDefault="00984FD2" w:rsidP="00984FD2">
      <w:pPr>
        <w:spacing w:line="360" w:lineRule="auto"/>
        <w:ind w:firstLine="420"/>
        <w:rPr>
          <w:rFonts w:ascii="新宋体" w:eastAsia="新宋体" w:hAnsi="新宋体"/>
          <w:b/>
          <w:szCs w:val="21"/>
        </w:rPr>
      </w:pPr>
      <w:r>
        <w:rPr>
          <w:rFonts w:ascii="新宋体" w:eastAsia="新宋体" w:hAnsi="新宋体" w:hint="eastAsia"/>
          <w:b/>
          <w:szCs w:val="21"/>
        </w:rPr>
        <w:t>4.4 本项目技术架构要求：</w:t>
      </w:r>
    </w:p>
    <w:p w:rsidR="00984FD2" w:rsidRDefault="00984FD2" w:rsidP="00984FD2">
      <w:pPr>
        <w:spacing w:line="360" w:lineRule="auto"/>
        <w:ind w:firstLine="420"/>
        <w:rPr>
          <w:rFonts w:ascii="新宋体" w:eastAsia="新宋体" w:hAnsi="新宋体"/>
          <w:szCs w:val="21"/>
          <w:lang w:val="zh-CN"/>
        </w:rPr>
      </w:pPr>
      <w:r>
        <w:rPr>
          <w:rFonts w:ascii="新宋体" w:eastAsia="新宋体" w:hAnsi="新宋体" w:hint="eastAsia"/>
          <w:szCs w:val="21"/>
        </w:rPr>
        <w:t xml:space="preserve">4.4.1 </w:t>
      </w:r>
      <w:r>
        <w:rPr>
          <w:rFonts w:ascii="新宋体" w:eastAsia="新宋体" w:hAnsi="新宋体" w:hint="eastAsia"/>
          <w:szCs w:val="21"/>
          <w:lang w:val="zh-CN"/>
        </w:rPr>
        <w:t>整体架构基于B/S结构；</w:t>
      </w:r>
    </w:p>
    <w:p w:rsidR="00984FD2" w:rsidRDefault="00984FD2" w:rsidP="00984FD2">
      <w:pPr>
        <w:spacing w:line="360" w:lineRule="auto"/>
        <w:ind w:firstLine="420"/>
        <w:rPr>
          <w:rFonts w:ascii="新宋体" w:eastAsia="新宋体" w:hAnsi="新宋体"/>
          <w:szCs w:val="21"/>
          <w:lang w:val="zh-CN"/>
        </w:rPr>
      </w:pPr>
      <w:r>
        <w:rPr>
          <w:rFonts w:ascii="新宋体" w:eastAsia="新宋体" w:hAnsi="新宋体" w:hint="eastAsia"/>
          <w:szCs w:val="21"/>
        </w:rPr>
        <w:t>4.4.2</w:t>
      </w:r>
      <w:r>
        <w:rPr>
          <w:rFonts w:ascii="新宋体" w:eastAsia="新宋体" w:hAnsi="新宋体" w:hint="eastAsia"/>
          <w:szCs w:val="21"/>
          <w:lang w:val="zh-CN"/>
        </w:rPr>
        <w:t>数据库系统采用</w:t>
      </w:r>
      <w:r>
        <w:rPr>
          <w:rFonts w:ascii="新宋体" w:eastAsia="新宋体" w:hAnsi="新宋体" w:hint="eastAsia"/>
          <w:szCs w:val="21"/>
        </w:rPr>
        <w:t>达梦数据库管理系统V8.1及</w:t>
      </w:r>
      <w:r>
        <w:rPr>
          <w:rFonts w:ascii="新宋体" w:eastAsia="新宋体" w:hAnsi="新宋体" w:hint="eastAsia"/>
          <w:szCs w:val="21"/>
          <w:lang w:val="en"/>
        </w:rPr>
        <w:t>其升级版本</w:t>
      </w:r>
      <w:r>
        <w:rPr>
          <w:rFonts w:ascii="新宋体" w:eastAsia="新宋体" w:hAnsi="新宋体" w:hint="eastAsia"/>
          <w:szCs w:val="21"/>
        </w:rPr>
        <w:t>；</w:t>
      </w:r>
    </w:p>
    <w:p w:rsidR="00984FD2" w:rsidRDefault="00984FD2" w:rsidP="00984FD2">
      <w:pPr>
        <w:spacing w:line="360" w:lineRule="auto"/>
        <w:ind w:firstLine="420"/>
        <w:rPr>
          <w:rFonts w:ascii="新宋体" w:eastAsia="新宋体" w:hAnsi="新宋体"/>
          <w:szCs w:val="21"/>
        </w:rPr>
      </w:pPr>
      <w:r>
        <w:rPr>
          <w:rFonts w:ascii="新宋体" w:eastAsia="新宋体" w:hAnsi="新宋体" w:hint="eastAsia"/>
          <w:szCs w:val="21"/>
        </w:rPr>
        <w:t>4.4.3 应适配但不限于奇安信浏览器（信创版）</w:t>
      </w:r>
    </w:p>
    <w:p w:rsidR="00984FD2" w:rsidRDefault="00984FD2" w:rsidP="00984FD2">
      <w:pPr>
        <w:spacing w:line="360" w:lineRule="auto"/>
        <w:ind w:firstLine="420"/>
        <w:rPr>
          <w:rFonts w:ascii="新宋体" w:eastAsia="新宋体" w:hAnsi="新宋体"/>
          <w:szCs w:val="21"/>
          <w:lang w:val="en"/>
        </w:rPr>
      </w:pPr>
      <w:r>
        <w:rPr>
          <w:rFonts w:ascii="新宋体" w:eastAsia="新宋体" w:hAnsi="新宋体" w:hint="eastAsia"/>
          <w:szCs w:val="21"/>
        </w:rPr>
        <w:t>4.4.4 如需中间件，应采用金蝶中间件AASV</w:t>
      </w:r>
      <w:r>
        <w:rPr>
          <w:rFonts w:ascii="新宋体" w:eastAsia="新宋体" w:hAnsi="新宋体" w:hint="eastAsia"/>
          <w:szCs w:val="21"/>
          <w:lang w:val="en"/>
        </w:rPr>
        <w:t>9.0/10.0及其升级版本；</w:t>
      </w:r>
    </w:p>
    <w:p w:rsidR="00984FD2" w:rsidRDefault="00984FD2" w:rsidP="00984FD2">
      <w:pPr>
        <w:spacing w:line="360" w:lineRule="auto"/>
        <w:ind w:firstLine="420"/>
        <w:rPr>
          <w:rFonts w:ascii="新宋体" w:eastAsia="新宋体" w:hAnsi="新宋体"/>
          <w:szCs w:val="21"/>
        </w:rPr>
      </w:pPr>
      <w:r>
        <w:rPr>
          <w:rFonts w:ascii="新宋体" w:eastAsia="新宋体" w:hAnsi="新宋体" w:hint="eastAsia"/>
          <w:szCs w:val="21"/>
        </w:rPr>
        <w:t>4.4.5 上述数据库、中间件的使用授权由采购单位提供</w:t>
      </w:r>
    </w:p>
    <w:p w:rsidR="00984FD2" w:rsidRDefault="00984FD2" w:rsidP="00984FD2">
      <w:pPr>
        <w:pStyle w:val="a5"/>
      </w:pPr>
    </w:p>
    <w:p w:rsidR="00984FD2" w:rsidRDefault="00984FD2" w:rsidP="00984FD2">
      <w:pPr>
        <w:spacing w:line="360" w:lineRule="auto"/>
        <w:ind w:firstLine="420"/>
        <w:rPr>
          <w:rFonts w:ascii="新宋体" w:eastAsia="新宋体" w:hAnsi="新宋体"/>
          <w:b/>
          <w:szCs w:val="21"/>
        </w:rPr>
      </w:pPr>
      <w:r>
        <w:rPr>
          <w:rFonts w:ascii="新宋体" w:eastAsia="新宋体" w:hAnsi="新宋体" w:hint="eastAsia"/>
          <w:b/>
          <w:szCs w:val="21"/>
        </w:rPr>
        <w:t>4.5 本次软件迭代升级服务质量保障要求：</w:t>
      </w:r>
    </w:p>
    <w:p w:rsidR="00984FD2" w:rsidRDefault="00984FD2" w:rsidP="00984FD2">
      <w:pPr>
        <w:spacing w:line="360" w:lineRule="auto"/>
        <w:ind w:firstLine="420"/>
        <w:rPr>
          <w:rFonts w:ascii="新宋体" w:eastAsia="新宋体" w:hAnsi="新宋体"/>
          <w:szCs w:val="21"/>
        </w:rPr>
      </w:pPr>
      <w:r>
        <w:rPr>
          <w:rFonts w:ascii="新宋体" w:eastAsia="新宋体" w:hAnsi="新宋体" w:hint="eastAsia"/>
          <w:szCs w:val="21"/>
        </w:rPr>
        <w:t>1.采购单位需求在开发期和试运行期内，仍有可能不断完善，投标人须承诺在采购需求总体框架下或政策法规范围内，随着采购单位需求的变动随时作出响应，修改完善软件功能、业务流程、用户权限等，根据等保要求修复漏洞、消除安全隐患。正式验收通过后，在本次</w:t>
      </w:r>
      <w:r>
        <w:rPr>
          <w:rFonts w:ascii="新宋体" w:eastAsia="新宋体" w:hAnsi="新宋体" w:hint="eastAsia"/>
          <w:szCs w:val="21"/>
        </w:rPr>
        <w:lastRenderedPageBreak/>
        <w:t>迭代升级范围内的模块或者功能若有需求变动，在免费维护期内，仍应免费按采购单位需求做出相应修改，以满足采购单位的需求。</w:t>
      </w:r>
    </w:p>
    <w:p w:rsidR="00984FD2" w:rsidRDefault="00984FD2" w:rsidP="00984FD2">
      <w:pPr>
        <w:spacing w:line="360" w:lineRule="auto"/>
        <w:ind w:firstLine="420"/>
        <w:rPr>
          <w:rFonts w:ascii="新宋体" w:eastAsia="新宋体" w:hAnsi="新宋体" w:cs="仿宋_GB2312"/>
          <w:szCs w:val="21"/>
        </w:rPr>
      </w:pPr>
      <w:r>
        <w:rPr>
          <w:rFonts w:ascii="新宋体" w:eastAsia="新宋体" w:hAnsi="新宋体" w:hint="eastAsia"/>
          <w:szCs w:val="21"/>
        </w:rPr>
        <w:t>2.投标人必须保证解决</w:t>
      </w:r>
      <w:r>
        <w:rPr>
          <w:rFonts w:ascii="新宋体" w:eastAsia="新宋体" w:hAnsi="新宋体" w:cs="仿宋_GB2312" w:hint="eastAsia"/>
          <w:szCs w:val="21"/>
        </w:rPr>
        <w:t>项目所涉及的技术问题，如因技术原因无法满足用户需求，由此产生的风险由投标方承担。</w:t>
      </w:r>
    </w:p>
    <w:p w:rsidR="00984FD2" w:rsidRDefault="00984FD2" w:rsidP="00984FD2">
      <w:pPr>
        <w:spacing w:line="360" w:lineRule="auto"/>
        <w:ind w:firstLine="420"/>
        <w:rPr>
          <w:rFonts w:ascii="新宋体" w:eastAsia="新宋体" w:hAnsi="新宋体" w:cs="仿宋_GB2312"/>
          <w:szCs w:val="21"/>
        </w:rPr>
      </w:pPr>
      <w:r>
        <w:rPr>
          <w:rFonts w:ascii="新宋体" w:eastAsia="新宋体" w:hAnsi="新宋体" w:cs="仿宋_GB2312" w:hint="eastAsia"/>
          <w:szCs w:val="21"/>
        </w:rPr>
        <w:t>3.投标人应该自行完成对现有系统改造工作，包括了和原有系统承建商的沟通、协调前期其他可能的工作事宜，由采购方负责向中标方提供合法的前期完工资料，并帮助中标单位协调沟通。</w:t>
      </w:r>
    </w:p>
    <w:p w:rsidR="00984FD2" w:rsidRPr="00CF42AC" w:rsidRDefault="00984FD2" w:rsidP="00984FD2">
      <w:pPr>
        <w:rPr>
          <w:rFonts w:ascii="新宋体" w:eastAsia="新宋体" w:hAnsi="新宋体"/>
          <w:b/>
        </w:rPr>
      </w:pPr>
    </w:p>
    <w:p w:rsidR="00984FD2" w:rsidRDefault="00984FD2" w:rsidP="00984FD2">
      <w:pPr>
        <w:rPr>
          <w:rFonts w:ascii="新宋体" w:eastAsia="新宋体" w:hAnsi="新宋体"/>
          <w:b/>
        </w:rPr>
      </w:pPr>
    </w:p>
    <w:p w:rsidR="00984FD2" w:rsidRDefault="00984FD2" w:rsidP="00984FD2">
      <w:pPr>
        <w:pStyle w:val="3"/>
        <w:rPr>
          <w:rFonts w:ascii="新宋体" w:eastAsia="新宋体" w:hAnsi="新宋体"/>
          <w:kern w:val="44"/>
          <w:szCs w:val="28"/>
        </w:rPr>
      </w:pPr>
      <w:r>
        <w:rPr>
          <w:rFonts w:ascii="新宋体" w:eastAsia="新宋体" w:hAnsi="新宋体" w:hint="eastAsia"/>
          <w:kern w:val="44"/>
          <w:szCs w:val="28"/>
        </w:rPr>
        <w:t>五、项目商务要求</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E39B7">
        <w:rPr>
          <w:rFonts w:ascii="新宋体" w:eastAsia="新宋体" w:hAnsi="新宋体" w:cs="宋体" w:hint="eastAsia"/>
          <w:szCs w:val="21"/>
        </w:rPr>
        <w:t>自合同签订之日起到项目验收通过之日止 ,不超过六个月。</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1.预付款：在完成合同签订后，支付合同总额70 %。</w:t>
      </w:r>
    </w:p>
    <w:p w:rsidR="00984FD2" w:rsidRPr="00087D71"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2.验收款：在完成项目验收后，支付合同总额30 %。</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84FD2" w:rsidRPr="00087D71" w:rsidRDefault="00984FD2" w:rsidP="00984FD2">
      <w:pPr>
        <w:spacing w:line="360" w:lineRule="auto"/>
        <w:rPr>
          <w:rFonts w:ascii="新宋体" w:eastAsia="新宋体" w:hAnsi="新宋体" w:cs="宋体"/>
          <w:szCs w:val="21"/>
        </w:rPr>
      </w:pPr>
      <w:r w:rsidRPr="00087D71">
        <w:rPr>
          <w:rFonts w:ascii="新宋体" w:eastAsia="新宋体" w:hAnsi="新宋体" w:cs="宋体" w:hint="eastAsia"/>
          <w:szCs w:val="21"/>
        </w:rPr>
        <w:t>1.质量考核验收标准：按深圳市电子政务项目验收要求进行验收</w:t>
      </w:r>
    </w:p>
    <w:p w:rsidR="00984FD2" w:rsidRDefault="00984FD2" w:rsidP="00984FD2">
      <w:pPr>
        <w:spacing w:line="360" w:lineRule="auto"/>
        <w:rPr>
          <w:rFonts w:ascii="新宋体" w:eastAsia="新宋体" w:hAnsi="新宋体" w:cs="宋体"/>
          <w:szCs w:val="21"/>
        </w:rPr>
      </w:pPr>
      <w:r w:rsidRPr="00087D71">
        <w:rPr>
          <w:rFonts w:ascii="新宋体" w:eastAsia="新宋体" w:hAnsi="新宋体" w:cs="宋体" w:hint="eastAsia"/>
          <w:szCs w:val="21"/>
        </w:rPr>
        <w:t>2.违约金：以合同签订为准</w:t>
      </w:r>
    </w:p>
    <w:p w:rsidR="00984FD2" w:rsidRDefault="00984FD2" w:rsidP="00984FD2">
      <w:pPr>
        <w:pStyle w:val="3"/>
        <w:rPr>
          <w:rFonts w:ascii="新宋体" w:eastAsia="新宋体" w:hAnsi="新宋体"/>
          <w:kern w:val="44"/>
          <w:szCs w:val="28"/>
        </w:rPr>
      </w:pPr>
      <w:r>
        <w:rPr>
          <w:rFonts w:ascii="新宋体" w:eastAsia="新宋体" w:hAnsi="新宋体" w:hint="eastAsia"/>
          <w:kern w:val="44"/>
          <w:szCs w:val="28"/>
        </w:rPr>
        <w:t>六、投标报价</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84FD2" w:rsidRDefault="00984FD2" w:rsidP="00984FD2">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F7053" w:rsidRPr="00984FD2" w:rsidRDefault="000F7053">
      <w:bookmarkStart w:id="0" w:name="_GoBack"/>
      <w:bookmarkEnd w:id="0"/>
    </w:p>
    <w:sectPr w:rsidR="000F7053" w:rsidRPr="00984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D2" w:rsidRDefault="00984FD2" w:rsidP="00984FD2">
      <w:r>
        <w:separator/>
      </w:r>
    </w:p>
  </w:endnote>
  <w:endnote w:type="continuationSeparator" w:id="0">
    <w:p w:rsidR="00984FD2" w:rsidRDefault="00984FD2" w:rsidP="0098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D2" w:rsidRDefault="00984FD2" w:rsidP="00984FD2">
      <w:r>
        <w:separator/>
      </w:r>
    </w:p>
  </w:footnote>
  <w:footnote w:type="continuationSeparator" w:id="0">
    <w:p w:rsidR="00984FD2" w:rsidRDefault="00984FD2" w:rsidP="0098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C5"/>
    <w:rsid w:val="000F7053"/>
    <w:rsid w:val="002E0DC5"/>
    <w:rsid w:val="0098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D2"/>
    <w:pPr>
      <w:widowControl w:val="0"/>
      <w:jc w:val="both"/>
    </w:pPr>
    <w:rPr>
      <w:rFonts w:ascii="Times New Roman" w:eastAsia="宋体" w:hAnsi="Times New Roman" w:cs="Times New Roman"/>
      <w:szCs w:val="24"/>
    </w:rPr>
  </w:style>
  <w:style w:type="paragraph" w:styleId="3">
    <w:name w:val="heading 3"/>
    <w:basedOn w:val="4"/>
    <w:next w:val="a"/>
    <w:link w:val="3Char1"/>
    <w:qFormat/>
    <w:rsid w:val="00984FD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84FD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F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4FD2"/>
    <w:rPr>
      <w:sz w:val="18"/>
      <w:szCs w:val="18"/>
    </w:rPr>
  </w:style>
  <w:style w:type="paragraph" w:styleId="a4">
    <w:name w:val="footer"/>
    <w:basedOn w:val="a"/>
    <w:link w:val="Char0"/>
    <w:uiPriority w:val="99"/>
    <w:unhideWhenUsed/>
    <w:rsid w:val="00984F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FD2"/>
    <w:rPr>
      <w:sz w:val="18"/>
      <w:szCs w:val="18"/>
    </w:rPr>
  </w:style>
  <w:style w:type="character" w:customStyle="1" w:styleId="3Char">
    <w:name w:val="标题 3 Char"/>
    <w:basedOn w:val="a0"/>
    <w:uiPriority w:val="9"/>
    <w:semiHidden/>
    <w:rsid w:val="00984FD2"/>
    <w:rPr>
      <w:rFonts w:ascii="Times New Roman" w:eastAsia="宋体" w:hAnsi="Times New Roman" w:cs="Times New Roman"/>
      <w:b/>
      <w:bCs/>
      <w:sz w:val="32"/>
      <w:szCs w:val="32"/>
    </w:rPr>
  </w:style>
  <w:style w:type="paragraph" w:styleId="a5">
    <w:name w:val="Normal Indent"/>
    <w:basedOn w:val="a"/>
    <w:link w:val="Char1"/>
    <w:qFormat/>
    <w:rsid w:val="00984FD2"/>
    <w:pPr>
      <w:ind w:firstLine="420"/>
    </w:pPr>
    <w:rPr>
      <w:szCs w:val="20"/>
    </w:rPr>
  </w:style>
  <w:style w:type="table" w:styleId="a6">
    <w:name w:val="Table Grid"/>
    <w:basedOn w:val="a1"/>
    <w:qFormat/>
    <w:rsid w:val="00984F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984FD2"/>
    <w:rPr>
      <w:rFonts w:ascii="宋体" w:eastAsia="宋体" w:hAnsi="宋体" w:cs="Times New Roman"/>
      <w:b/>
      <w:bCs/>
      <w:sz w:val="28"/>
      <w:szCs w:val="32"/>
    </w:rPr>
  </w:style>
  <w:style w:type="character" w:customStyle="1" w:styleId="Char1">
    <w:name w:val="正文缩进 Char"/>
    <w:link w:val="a5"/>
    <w:qFormat/>
    <w:rsid w:val="00984FD2"/>
    <w:rPr>
      <w:rFonts w:ascii="Times New Roman" w:eastAsia="宋体" w:hAnsi="Times New Roman" w:cs="Times New Roman"/>
      <w:szCs w:val="20"/>
    </w:rPr>
  </w:style>
  <w:style w:type="character" w:customStyle="1" w:styleId="4Char">
    <w:name w:val="标题 4 Char"/>
    <w:basedOn w:val="a0"/>
    <w:link w:val="4"/>
    <w:uiPriority w:val="9"/>
    <w:semiHidden/>
    <w:rsid w:val="00984FD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D2"/>
    <w:pPr>
      <w:widowControl w:val="0"/>
      <w:jc w:val="both"/>
    </w:pPr>
    <w:rPr>
      <w:rFonts w:ascii="Times New Roman" w:eastAsia="宋体" w:hAnsi="Times New Roman" w:cs="Times New Roman"/>
      <w:szCs w:val="24"/>
    </w:rPr>
  </w:style>
  <w:style w:type="paragraph" w:styleId="3">
    <w:name w:val="heading 3"/>
    <w:basedOn w:val="4"/>
    <w:next w:val="a"/>
    <w:link w:val="3Char1"/>
    <w:qFormat/>
    <w:rsid w:val="00984FD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84FD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F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4FD2"/>
    <w:rPr>
      <w:sz w:val="18"/>
      <w:szCs w:val="18"/>
    </w:rPr>
  </w:style>
  <w:style w:type="paragraph" w:styleId="a4">
    <w:name w:val="footer"/>
    <w:basedOn w:val="a"/>
    <w:link w:val="Char0"/>
    <w:uiPriority w:val="99"/>
    <w:unhideWhenUsed/>
    <w:rsid w:val="00984F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FD2"/>
    <w:rPr>
      <w:sz w:val="18"/>
      <w:szCs w:val="18"/>
    </w:rPr>
  </w:style>
  <w:style w:type="character" w:customStyle="1" w:styleId="3Char">
    <w:name w:val="标题 3 Char"/>
    <w:basedOn w:val="a0"/>
    <w:uiPriority w:val="9"/>
    <w:semiHidden/>
    <w:rsid w:val="00984FD2"/>
    <w:rPr>
      <w:rFonts w:ascii="Times New Roman" w:eastAsia="宋体" w:hAnsi="Times New Roman" w:cs="Times New Roman"/>
      <w:b/>
      <w:bCs/>
      <w:sz w:val="32"/>
      <w:szCs w:val="32"/>
    </w:rPr>
  </w:style>
  <w:style w:type="paragraph" w:styleId="a5">
    <w:name w:val="Normal Indent"/>
    <w:basedOn w:val="a"/>
    <w:link w:val="Char1"/>
    <w:qFormat/>
    <w:rsid w:val="00984FD2"/>
    <w:pPr>
      <w:ind w:firstLine="420"/>
    </w:pPr>
    <w:rPr>
      <w:szCs w:val="20"/>
    </w:rPr>
  </w:style>
  <w:style w:type="table" w:styleId="a6">
    <w:name w:val="Table Grid"/>
    <w:basedOn w:val="a1"/>
    <w:qFormat/>
    <w:rsid w:val="00984F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984FD2"/>
    <w:rPr>
      <w:rFonts w:ascii="宋体" w:eastAsia="宋体" w:hAnsi="宋体" w:cs="Times New Roman"/>
      <w:b/>
      <w:bCs/>
      <w:sz w:val="28"/>
      <w:szCs w:val="32"/>
    </w:rPr>
  </w:style>
  <w:style w:type="character" w:customStyle="1" w:styleId="Char1">
    <w:name w:val="正文缩进 Char"/>
    <w:link w:val="a5"/>
    <w:qFormat/>
    <w:rsid w:val="00984FD2"/>
    <w:rPr>
      <w:rFonts w:ascii="Times New Roman" w:eastAsia="宋体" w:hAnsi="Times New Roman" w:cs="Times New Roman"/>
      <w:szCs w:val="20"/>
    </w:rPr>
  </w:style>
  <w:style w:type="character" w:customStyle="1" w:styleId="4Char">
    <w:name w:val="标题 4 Char"/>
    <w:basedOn w:val="a0"/>
    <w:link w:val="4"/>
    <w:uiPriority w:val="9"/>
    <w:semiHidden/>
    <w:rsid w:val="00984FD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2022-11-15T09:59:00Z</dcterms:created>
  <dcterms:modified xsi:type="dcterms:W3CDTF">2022-11-15T09:59:00Z</dcterms:modified>
</cp:coreProperties>
</file>