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724" w:rsidRDefault="00A43724" w:rsidP="00A43724">
      <w:pPr>
        <w:pStyle w:val="3"/>
        <w:rPr>
          <w:rFonts w:ascii="新宋体" w:eastAsia="新宋体" w:hAnsi="新宋体"/>
          <w:kern w:val="44"/>
          <w:szCs w:val="28"/>
        </w:rPr>
      </w:pPr>
      <w:r>
        <w:rPr>
          <w:rFonts w:ascii="新宋体" w:eastAsia="新宋体" w:hAnsi="新宋体" w:hint="eastAsia"/>
          <w:kern w:val="44"/>
          <w:szCs w:val="28"/>
        </w:rPr>
        <w:t>三、项目概况</w:t>
      </w:r>
    </w:p>
    <w:p w:rsidR="00A43724" w:rsidRDefault="00A43724" w:rsidP="00A43724">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人民币叁拾贰万（320,000.00）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人民币叁拾贰万（320,000.00）</w:t>
      </w:r>
    </w:p>
    <w:p w:rsidR="00A43724" w:rsidRDefault="00A43724" w:rsidP="00A43724">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Pr="00A44339">
        <w:rPr>
          <w:rFonts w:ascii="新宋体" w:eastAsia="新宋体" w:hAnsi="新宋体" w:cs="宋体" w:hint="eastAsia"/>
          <w:szCs w:val="21"/>
        </w:rPr>
        <w:t>基于我局市统一预约平台，升级原业务预约办理功能，实现在预约环节预填写功能。当在窗口办件时，可自主自行依据情况扫描实体大厅窗口免填写二维码，将预填写的数据信息带入业务表单中，完成业务的办理。</w:t>
      </w:r>
    </w:p>
    <w:p w:rsidR="00A43724" w:rsidRDefault="00A43724" w:rsidP="00A43724">
      <w:pPr>
        <w:rPr>
          <w:rFonts w:ascii="新宋体" w:eastAsia="新宋体" w:hAnsi="新宋体"/>
          <w:b/>
          <w:bCs/>
          <w:szCs w:val="21"/>
        </w:rPr>
      </w:pPr>
    </w:p>
    <w:p w:rsidR="00A43724" w:rsidRDefault="00A43724" w:rsidP="00A43724">
      <w:pPr>
        <w:pStyle w:val="3"/>
        <w:rPr>
          <w:rFonts w:ascii="新宋体" w:eastAsia="新宋体" w:hAnsi="新宋体"/>
          <w:kern w:val="44"/>
          <w:szCs w:val="28"/>
        </w:rPr>
      </w:pPr>
      <w:r>
        <w:rPr>
          <w:rFonts w:ascii="新宋体" w:eastAsia="新宋体" w:hAnsi="新宋体" w:hint="eastAsia"/>
          <w:kern w:val="44"/>
          <w:szCs w:val="28"/>
        </w:rPr>
        <w:t>四、项目技术要求</w:t>
      </w:r>
    </w:p>
    <w:p w:rsidR="00A43724" w:rsidRPr="00A44339" w:rsidRDefault="00A43724" w:rsidP="00A43724">
      <w:pPr>
        <w:spacing w:line="360" w:lineRule="auto"/>
        <w:rPr>
          <w:rFonts w:ascii="新宋体" w:eastAsia="新宋体" w:hAnsi="新宋体"/>
        </w:rPr>
      </w:pPr>
      <w:r w:rsidRPr="00A44339">
        <w:rPr>
          <w:rFonts w:ascii="新宋体" w:eastAsia="新宋体" w:hAnsi="新宋体" w:hint="eastAsia"/>
        </w:rPr>
        <w:t>（一）项目背景</w:t>
      </w:r>
    </w:p>
    <w:p w:rsidR="00A43724" w:rsidRPr="00A44339" w:rsidRDefault="00A43724" w:rsidP="00A43724">
      <w:pPr>
        <w:spacing w:line="360" w:lineRule="auto"/>
        <w:rPr>
          <w:rFonts w:ascii="新宋体" w:eastAsia="新宋体" w:hAnsi="新宋体"/>
        </w:rPr>
      </w:pPr>
      <w:r w:rsidRPr="00A44339">
        <w:rPr>
          <w:rFonts w:ascii="新宋体" w:eastAsia="新宋体" w:hAnsi="新宋体" w:hint="eastAsia"/>
        </w:rPr>
        <w:t>进一步加强政务服务平台规范化、标准化、集约化建设，优化营商环境，提升企业群众办理政务服务事项的满意度、便捷度，结合当前疫情防控要求及深圳市政务服务工作实际，基于预约环节实现办事信息预填写功能，进一步拓展“互联网+政务服务”。推进政务服务线上线下深度融合，创新政务服务模式。</w:t>
      </w:r>
    </w:p>
    <w:p w:rsidR="00A43724" w:rsidRPr="00A44339" w:rsidRDefault="00A43724" w:rsidP="00A43724">
      <w:pPr>
        <w:spacing w:line="360" w:lineRule="auto"/>
        <w:rPr>
          <w:rFonts w:ascii="新宋体" w:eastAsia="新宋体" w:hAnsi="新宋体"/>
        </w:rPr>
      </w:pPr>
      <w:r w:rsidRPr="00A44339">
        <w:rPr>
          <w:rFonts w:ascii="新宋体" w:eastAsia="新宋体" w:hAnsi="新宋体" w:hint="eastAsia"/>
        </w:rPr>
        <w:t>（二）现状及需求分析</w:t>
      </w:r>
    </w:p>
    <w:p w:rsidR="00A43724" w:rsidRPr="00A44339" w:rsidRDefault="00A43724" w:rsidP="00A43724">
      <w:pPr>
        <w:spacing w:line="360" w:lineRule="auto"/>
        <w:rPr>
          <w:rFonts w:ascii="新宋体" w:eastAsia="新宋体" w:hAnsi="新宋体"/>
        </w:rPr>
      </w:pPr>
      <w:r w:rsidRPr="00A44339">
        <w:rPr>
          <w:rFonts w:ascii="新宋体" w:eastAsia="新宋体" w:hAnsi="新宋体" w:hint="eastAsia"/>
        </w:rPr>
        <w:t>当前办事人员到政务服务大厅办理业务时，通过广东政务服务网（深圳站）提交网上申办业务或预约到线下政务服务大厅进行业务的办理，窗口人员对于符合办理业务进行业务收件，从而流转到业务审批部门进行办理。目前办事人通过预约到政务大厅办理业务，窗口人员核对办事人申请材料是否正确，无误后从而完成业务的办理。通过</w:t>
      </w:r>
      <w:proofErr w:type="gramStart"/>
      <w:r w:rsidRPr="00A44339">
        <w:rPr>
          <w:rFonts w:ascii="新宋体" w:eastAsia="新宋体" w:hAnsi="新宋体" w:hint="eastAsia"/>
        </w:rPr>
        <w:t>升级市</w:t>
      </w:r>
      <w:proofErr w:type="gramEnd"/>
      <w:r w:rsidRPr="00A44339">
        <w:rPr>
          <w:rFonts w:ascii="新宋体" w:eastAsia="新宋体" w:hAnsi="新宋体" w:hint="eastAsia"/>
        </w:rPr>
        <w:t>统一预约预填写功能，从预约环节可对个人及法人事项表单高频要素字段预填写，从而提升市民的办事体验，营造更加智能化的办事体验。</w:t>
      </w:r>
    </w:p>
    <w:p w:rsidR="00A43724" w:rsidRPr="00A44339" w:rsidRDefault="00A43724" w:rsidP="00A43724">
      <w:pPr>
        <w:spacing w:line="360" w:lineRule="auto"/>
        <w:rPr>
          <w:rFonts w:ascii="新宋体" w:eastAsia="新宋体" w:hAnsi="新宋体"/>
        </w:rPr>
      </w:pPr>
      <w:r w:rsidRPr="00A44339">
        <w:rPr>
          <w:rFonts w:ascii="新宋体" w:eastAsia="新宋体" w:hAnsi="新宋体" w:hint="eastAsia"/>
        </w:rPr>
        <w:t>1.业务需求</w:t>
      </w:r>
    </w:p>
    <w:p w:rsidR="00A43724" w:rsidRPr="00A44339" w:rsidRDefault="00A43724" w:rsidP="00A43724">
      <w:pPr>
        <w:spacing w:line="360" w:lineRule="auto"/>
        <w:rPr>
          <w:rFonts w:ascii="新宋体" w:eastAsia="新宋体" w:hAnsi="新宋体"/>
        </w:rPr>
      </w:pPr>
      <w:r w:rsidRPr="00A44339">
        <w:rPr>
          <w:rFonts w:ascii="新宋体" w:eastAsia="新宋体" w:hAnsi="新宋体" w:hint="eastAsia"/>
        </w:rPr>
        <w:t>办事人通过市统一预约平台进行业务预约办理时，对业务事项表单高频要素字段进行预填写，若已存在预填写字段，可对预填写字段准确性进行核对，无误后进行预约信息的提交。办事人员到大厅进行业务办理时，窗口业务人员可通过扫描办事人预约</w:t>
      </w:r>
      <w:proofErr w:type="gramStart"/>
      <w:r w:rsidRPr="00A44339">
        <w:rPr>
          <w:rFonts w:ascii="新宋体" w:eastAsia="新宋体" w:hAnsi="新宋体" w:hint="eastAsia"/>
        </w:rPr>
        <w:t>二维码等</w:t>
      </w:r>
      <w:proofErr w:type="gramEnd"/>
      <w:r w:rsidRPr="00A44339">
        <w:rPr>
          <w:rFonts w:ascii="新宋体" w:eastAsia="新宋体" w:hAnsi="新宋体" w:hint="eastAsia"/>
        </w:rPr>
        <w:t>信息，获取办事人填写的表单高频字段，根据表单映射关系，自动填充到业务表单，从而完成业务的办理。</w:t>
      </w:r>
    </w:p>
    <w:p w:rsidR="00A43724" w:rsidRPr="00A44339" w:rsidRDefault="00A43724" w:rsidP="00A43724">
      <w:pPr>
        <w:spacing w:line="360" w:lineRule="auto"/>
        <w:rPr>
          <w:rFonts w:ascii="新宋体" w:eastAsia="新宋体" w:hAnsi="新宋体"/>
        </w:rPr>
      </w:pPr>
      <w:r w:rsidRPr="00A44339">
        <w:rPr>
          <w:rFonts w:ascii="新宋体" w:eastAsia="新宋体" w:hAnsi="新宋体" w:hint="eastAsia"/>
        </w:rPr>
        <w:t>2.功能需求</w:t>
      </w:r>
    </w:p>
    <w:p w:rsidR="00A43724" w:rsidRPr="00A44339" w:rsidRDefault="00A43724" w:rsidP="00A43724">
      <w:pPr>
        <w:spacing w:line="360" w:lineRule="auto"/>
        <w:rPr>
          <w:rFonts w:ascii="新宋体" w:eastAsia="新宋体" w:hAnsi="新宋体"/>
        </w:rPr>
      </w:pPr>
      <w:r w:rsidRPr="00A44339">
        <w:rPr>
          <w:rFonts w:ascii="新宋体" w:eastAsia="新宋体" w:hAnsi="新宋体" w:hint="eastAsia"/>
        </w:rPr>
        <w:t>（1）预约预填写功能升级</w:t>
      </w:r>
    </w:p>
    <w:p w:rsidR="00A43724" w:rsidRPr="00A44339" w:rsidRDefault="00A43724" w:rsidP="00A43724">
      <w:pPr>
        <w:spacing w:line="360" w:lineRule="auto"/>
        <w:rPr>
          <w:rFonts w:ascii="新宋体" w:eastAsia="新宋体" w:hAnsi="新宋体"/>
        </w:rPr>
      </w:pPr>
      <w:r w:rsidRPr="00A44339">
        <w:rPr>
          <w:rFonts w:ascii="新宋体" w:eastAsia="新宋体" w:hAnsi="新宋体" w:hint="eastAsia"/>
        </w:rPr>
        <w:lastRenderedPageBreak/>
        <w:t xml:space="preserve">①在市统一预约平台上，实现预约预填写功能升级服务场景应用； </w:t>
      </w:r>
    </w:p>
    <w:p w:rsidR="00A43724" w:rsidRPr="00A44339" w:rsidRDefault="00A43724" w:rsidP="00A43724">
      <w:pPr>
        <w:spacing w:line="360" w:lineRule="auto"/>
        <w:rPr>
          <w:rFonts w:ascii="新宋体" w:eastAsia="新宋体" w:hAnsi="新宋体"/>
        </w:rPr>
      </w:pPr>
      <w:r w:rsidRPr="00A44339">
        <w:rPr>
          <w:rFonts w:ascii="新宋体" w:eastAsia="新宋体" w:hAnsi="新宋体" w:hint="eastAsia"/>
        </w:rPr>
        <w:t>②开展个人高频字段梳理工作，可对办事人在进行业务预约对字段进行预填写，亦可展示历史预填写的信息进行确认或修改。</w:t>
      </w:r>
    </w:p>
    <w:p w:rsidR="00A43724" w:rsidRPr="00A44339" w:rsidRDefault="00A43724" w:rsidP="00A43724">
      <w:pPr>
        <w:spacing w:line="360" w:lineRule="auto"/>
        <w:rPr>
          <w:rFonts w:ascii="新宋体" w:eastAsia="新宋体" w:hAnsi="新宋体"/>
        </w:rPr>
      </w:pPr>
      <w:r w:rsidRPr="00A44339">
        <w:rPr>
          <w:rFonts w:ascii="新宋体" w:eastAsia="新宋体" w:hAnsi="新宋体" w:hint="eastAsia"/>
        </w:rPr>
        <w:t>③开展法人高频字段梳理工作，可对办事人在进行业务预约对字段进行预填写，亦可展示历史预填写的信息进行确认或修改。</w:t>
      </w:r>
    </w:p>
    <w:p w:rsidR="00A43724" w:rsidRPr="00A44339" w:rsidRDefault="00A43724" w:rsidP="00A43724">
      <w:pPr>
        <w:spacing w:line="360" w:lineRule="auto"/>
        <w:rPr>
          <w:rFonts w:ascii="新宋体" w:eastAsia="新宋体" w:hAnsi="新宋体"/>
        </w:rPr>
      </w:pPr>
      <w:r w:rsidRPr="00A44339">
        <w:rPr>
          <w:rFonts w:ascii="新宋体" w:eastAsia="新宋体" w:hAnsi="新宋体" w:hint="eastAsia"/>
        </w:rPr>
        <w:t>④预填写信息推送服务。生成预填写信息记录，推送到其他业务系统进行应用；</w:t>
      </w:r>
    </w:p>
    <w:p w:rsidR="00A43724" w:rsidRPr="00A44339" w:rsidRDefault="00A43724" w:rsidP="00A43724">
      <w:pPr>
        <w:spacing w:line="360" w:lineRule="auto"/>
        <w:rPr>
          <w:rFonts w:ascii="新宋体" w:eastAsia="新宋体" w:hAnsi="新宋体"/>
        </w:rPr>
      </w:pPr>
      <w:r w:rsidRPr="00A44339">
        <w:rPr>
          <w:rFonts w:ascii="新宋体" w:eastAsia="新宋体" w:hAnsi="新宋体" w:hint="eastAsia"/>
        </w:rPr>
        <w:t>⑤可信源验证服务。对获取预填写信息的业务系统进行身份校验，确保信息安全；</w:t>
      </w:r>
    </w:p>
    <w:p w:rsidR="00A43724" w:rsidRPr="00A44339" w:rsidRDefault="00A43724" w:rsidP="00A43724">
      <w:pPr>
        <w:spacing w:line="360" w:lineRule="auto"/>
        <w:rPr>
          <w:rFonts w:ascii="新宋体" w:eastAsia="新宋体" w:hAnsi="新宋体"/>
        </w:rPr>
      </w:pPr>
      <w:r w:rsidRPr="00A44339">
        <w:rPr>
          <w:rFonts w:ascii="新宋体" w:eastAsia="新宋体" w:hAnsi="新宋体" w:hint="eastAsia"/>
        </w:rPr>
        <w:t>（2）预填写信息受理梳理配置工作</w:t>
      </w:r>
    </w:p>
    <w:p w:rsidR="00A43724" w:rsidRPr="00A44339" w:rsidRDefault="00A43724" w:rsidP="00A43724">
      <w:pPr>
        <w:spacing w:line="360" w:lineRule="auto"/>
        <w:rPr>
          <w:rFonts w:ascii="新宋体" w:eastAsia="新宋体" w:hAnsi="新宋体"/>
        </w:rPr>
      </w:pPr>
      <w:r w:rsidRPr="00A44339">
        <w:rPr>
          <w:rFonts w:ascii="新宋体" w:eastAsia="新宋体" w:hAnsi="新宋体" w:hint="eastAsia"/>
        </w:rPr>
        <w:t>①开展业务办理高频事项梳理工作，完成10个可预填写高频事项表单梳理工作；</w:t>
      </w:r>
    </w:p>
    <w:p w:rsidR="00A43724" w:rsidRPr="00A44339" w:rsidRDefault="00A43724" w:rsidP="00A43724">
      <w:pPr>
        <w:spacing w:line="360" w:lineRule="auto"/>
        <w:rPr>
          <w:rFonts w:ascii="新宋体" w:eastAsia="新宋体" w:hAnsi="新宋体"/>
        </w:rPr>
      </w:pPr>
      <w:r w:rsidRPr="00A44339">
        <w:rPr>
          <w:rFonts w:ascii="新宋体" w:eastAsia="新宋体" w:hAnsi="新宋体" w:hint="eastAsia"/>
        </w:rPr>
        <w:t>②开展预填写信息映射关联关系匹配工作，完成10个预填写事项表单的信息映射；</w:t>
      </w:r>
    </w:p>
    <w:p w:rsidR="00A43724" w:rsidRPr="00A44339" w:rsidRDefault="00A43724" w:rsidP="00A43724">
      <w:pPr>
        <w:spacing w:line="360" w:lineRule="auto"/>
        <w:rPr>
          <w:rFonts w:ascii="新宋体" w:eastAsia="新宋体" w:hAnsi="新宋体"/>
        </w:rPr>
      </w:pPr>
      <w:r w:rsidRPr="00A44339">
        <w:rPr>
          <w:rFonts w:ascii="新宋体" w:eastAsia="新宋体" w:hAnsi="新宋体" w:hint="eastAsia"/>
        </w:rPr>
        <w:t>（3）系统联调测试工作</w:t>
      </w:r>
    </w:p>
    <w:p w:rsidR="00A43724" w:rsidRPr="00A44339" w:rsidRDefault="00A43724" w:rsidP="00A43724">
      <w:pPr>
        <w:spacing w:line="360" w:lineRule="auto"/>
        <w:rPr>
          <w:rFonts w:ascii="新宋体" w:eastAsia="新宋体" w:hAnsi="新宋体"/>
        </w:rPr>
      </w:pPr>
      <w:r w:rsidRPr="00A44339">
        <w:rPr>
          <w:rFonts w:ascii="新宋体" w:eastAsia="新宋体" w:hAnsi="新宋体" w:hint="eastAsia"/>
        </w:rPr>
        <w:t>开展对预约环节预填写功能建设和预填写信息受理梳理配置工作实现应用场景，进行全流程的联调测试。</w:t>
      </w:r>
    </w:p>
    <w:p w:rsidR="00A43724" w:rsidRDefault="00A43724" w:rsidP="00A43724">
      <w:pPr>
        <w:rPr>
          <w:rFonts w:ascii="新宋体" w:eastAsia="新宋体" w:hAnsi="新宋体"/>
          <w:b/>
        </w:rPr>
      </w:pPr>
    </w:p>
    <w:p w:rsidR="00A43724" w:rsidRDefault="00A43724" w:rsidP="00A43724">
      <w:pPr>
        <w:pStyle w:val="3"/>
        <w:rPr>
          <w:rFonts w:ascii="新宋体" w:eastAsia="新宋体" w:hAnsi="新宋体"/>
          <w:kern w:val="44"/>
          <w:szCs w:val="28"/>
        </w:rPr>
      </w:pPr>
      <w:r>
        <w:rPr>
          <w:rFonts w:ascii="新宋体" w:eastAsia="新宋体" w:hAnsi="新宋体" w:hint="eastAsia"/>
          <w:kern w:val="44"/>
          <w:szCs w:val="28"/>
        </w:rPr>
        <w:t>五、项目商务要求</w:t>
      </w:r>
    </w:p>
    <w:p w:rsidR="00A43724" w:rsidRDefault="00A43724" w:rsidP="00A43724">
      <w:pPr>
        <w:spacing w:line="360" w:lineRule="auto"/>
        <w:rPr>
          <w:rFonts w:ascii="新宋体" w:eastAsia="新宋体" w:hAnsi="新宋体" w:cs="宋体"/>
          <w:szCs w:val="21"/>
        </w:rPr>
      </w:pPr>
      <w:r>
        <w:rPr>
          <w:rFonts w:ascii="新宋体" w:eastAsia="新宋体" w:hAnsi="新宋体" w:cs="宋体" w:hint="eastAsia"/>
          <w:szCs w:val="21"/>
        </w:rPr>
        <w:t>（一）服务期限：</w:t>
      </w:r>
      <w:r w:rsidR="009A05CA" w:rsidRPr="00CF61F9">
        <w:rPr>
          <w:rFonts w:ascii="新宋体" w:eastAsia="新宋体" w:hAnsi="新宋体" w:hint="eastAsia"/>
          <w:szCs w:val="21"/>
        </w:rPr>
        <w:t>合同签订后完成本项目的所有工作并完成验收</w:t>
      </w:r>
      <w:r w:rsidR="009A05CA">
        <w:rPr>
          <w:rFonts w:ascii="新宋体" w:eastAsia="新宋体" w:hAnsi="新宋体" w:hint="eastAsia"/>
          <w:szCs w:val="21"/>
        </w:rPr>
        <w:t>，具体以合同签订为准</w:t>
      </w:r>
      <w:r w:rsidR="009A05CA" w:rsidRPr="00D0748B">
        <w:rPr>
          <w:rFonts w:ascii="新宋体" w:eastAsia="新宋体" w:hAnsi="新宋体" w:hint="eastAsia"/>
          <w:szCs w:val="21"/>
        </w:rPr>
        <w:t>。</w:t>
      </w:r>
      <w:bookmarkStart w:id="0" w:name="_GoBack"/>
      <w:bookmarkEnd w:id="0"/>
    </w:p>
    <w:p w:rsidR="00A43724" w:rsidRDefault="00A43724" w:rsidP="00A43724">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7D3F44">
        <w:rPr>
          <w:rFonts w:ascii="新宋体" w:eastAsia="新宋体" w:hAnsi="新宋体" w:cs="宋体" w:hint="eastAsia"/>
          <w:szCs w:val="21"/>
        </w:rPr>
        <w:t>以合同约定为准</w:t>
      </w:r>
    </w:p>
    <w:p w:rsidR="00A43724" w:rsidRDefault="00A43724" w:rsidP="00A43724">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A43724" w:rsidRDefault="00A43724" w:rsidP="00A43724">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7D3F44">
        <w:rPr>
          <w:rFonts w:ascii="新宋体" w:eastAsia="新宋体" w:hAnsi="新宋体" w:cs="宋体" w:hint="eastAsia"/>
          <w:szCs w:val="21"/>
        </w:rPr>
        <w:t>以合同约定为准</w:t>
      </w:r>
    </w:p>
    <w:p w:rsidR="00A43724" w:rsidRDefault="00A43724" w:rsidP="00A43724">
      <w:pPr>
        <w:spacing w:line="360" w:lineRule="auto"/>
        <w:rPr>
          <w:rFonts w:ascii="新宋体" w:eastAsia="新宋体" w:hAnsi="新宋体" w:cs="宋体"/>
          <w:szCs w:val="21"/>
        </w:rPr>
      </w:pPr>
      <w:r>
        <w:rPr>
          <w:rFonts w:ascii="新宋体" w:eastAsia="新宋体" w:hAnsi="新宋体" w:cs="宋体" w:hint="eastAsia"/>
          <w:szCs w:val="21"/>
        </w:rPr>
        <w:t>2.违约金：</w:t>
      </w:r>
      <w:r w:rsidRPr="007D3F44">
        <w:rPr>
          <w:rFonts w:ascii="新宋体" w:eastAsia="新宋体" w:hAnsi="新宋体" w:cs="宋体" w:hint="eastAsia"/>
          <w:szCs w:val="21"/>
        </w:rPr>
        <w:t>以合同约定为准</w:t>
      </w:r>
    </w:p>
    <w:p w:rsidR="00A43724" w:rsidRDefault="00A43724" w:rsidP="00A43724">
      <w:pPr>
        <w:pStyle w:val="3"/>
        <w:rPr>
          <w:rFonts w:ascii="新宋体" w:eastAsia="新宋体" w:hAnsi="新宋体"/>
          <w:kern w:val="44"/>
          <w:szCs w:val="28"/>
        </w:rPr>
      </w:pPr>
      <w:r>
        <w:rPr>
          <w:rFonts w:ascii="新宋体" w:eastAsia="新宋体" w:hAnsi="新宋体" w:hint="eastAsia"/>
          <w:kern w:val="44"/>
          <w:szCs w:val="28"/>
        </w:rPr>
        <w:t>六、投标报价</w:t>
      </w:r>
    </w:p>
    <w:p w:rsidR="00A43724" w:rsidRPr="007D3F44" w:rsidRDefault="00A43724" w:rsidP="00A43724">
      <w:pPr>
        <w:spacing w:line="360" w:lineRule="auto"/>
        <w:rPr>
          <w:rFonts w:ascii="新宋体" w:eastAsia="新宋体" w:hAnsi="新宋体"/>
        </w:rPr>
      </w:pPr>
      <w:r w:rsidRPr="007D3F44">
        <w:rPr>
          <w:rFonts w:ascii="新宋体" w:eastAsia="新宋体" w:hAnsi="新宋体" w:hint="eastAsia"/>
        </w:rPr>
        <w:t>1.本项目服务费采用包干制，应包括服务成本、法定税费和企业的利润。由投标供应商根据采购文件所提供的资料自行测算投标报价；一经中标，报价总价作为中标供应商与采购人</w:t>
      </w:r>
      <w:proofErr w:type="gramStart"/>
      <w:r w:rsidRPr="007D3F44">
        <w:rPr>
          <w:rFonts w:ascii="新宋体" w:eastAsia="新宋体" w:hAnsi="新宋体" w:hint="eastAsia"/>
        </w:rPr>
        <w:t>签定</w:t>
      </w:r>
      <w:proofErr w:type="gramEnd"/>
      <w:r w:rsidRPr="007D3F44">
        <w:rPr>
          <w:rFonts w:ascii="新宋体" w:eastAsia="新宋体" w:hAnsi="新宋体" w:hint="eastAsia"/>
        </w:rPr>
        <w:t>的合同金额，合同期限内不做调整；</w:t>
      </w:r>
    </w:p>
    <w:p w:rsidR="00A43724" w:rsidRPr="007D3F44" w:rsidRDefault="00A43724" w:rsidP="00A43724">
      <w:pPr>
        <w:spacing w:line="360" w:lineRule="auto"/>
        <w:rPr>
          <w:rFonts w:ascii="新宋体" w:eastAsia="新宋体" w:hAnsi="新宋体"/>
        </w:rPr>
      </w:pPr>
      <w:r w:rsidRPr="007D3F44">
        <w:rPr>
          <w:rFonts w:ascii="新宋体" w:eastAsia="新宋体" w:hAnsi="新宋体" w:hint="eastAsia"/>
        </w:rPr>
        <w:t>2.投标供应商应当根据本企业的成本自行决定报价，但不得以低于其企业成本的报价投标；</w:t>
      </w:r>
    </w:p>
    <w:p w:rsidR="00A43724" w:rsidRPr="007D3F44" w:rsidRDefault="00A43724" w:rsidP="00A43724">
      <w:pPr>
        <w:spacing w:line="360" w:lineRule="auto"/>
        <w:rPr>
          <w:rFonts w:ascii="新宋体" w:eastAsia="新宋体" w:hAnsi="新宋体"/>
        </w:rPr>
      </w:pPr>
      <w:r w:rsidRPr="007D3F44">
        <w:rPr>
          <w:rFonts w:ascii="新宋体" w:eastAsia="新宋体" w:hAnsi="新宋体" w:hint="eastAsia"/>
        </w:rPr>
        <w:t>3.投标供应商的报价不得超过项目预算金额；</w:t>
      </w:r>
    </w:p>
    <w:p w:rsidR="00A43724" w:rsidRPr="007D3F44" w:rsidRDefault="00A43724" w:rsidP="00A43724">
      <w:pPr>
        <w:spacing w:line="360" w:lineRule="auto"/>
        <w:rPr>
          <w:rFonts w:ascii="新宋体" w:eastAsia="新宋体" w:hAnsi="新宋体"/>
        </w:rPr>
      </w:pPr>
      <w:r w:rsidRPr="007D3F44">
        <w:rPr>
          <w:rFonts w:ascii="新宋体" w:eastAsia="新宋体" w:hAnsi="新宋体" w:hint="eastAsia"/>
        </w:rPr>
        <w:t>4.投标供应商的报价，应当是本项目采购范围和采购文件及合同条款上所列的各项内容中所</w:t>
      </w:r>
      <w:r w:rsidRPr="007D3F44">
        <w:rPr>
          <w:rFonts w:ascii="新宋体" w:eastAsia="新宋体" w:hAnsi="新宋体" w:hint="eastAsia"/>
        </w:rPr>
        <w:lastRenderedPageBreak/>
        <w:t>述的全部，不得以任何理由予以重复；</w:t>
      </w:r>
    </w:p>
    <w:p w:rsidR="00A43724" w:rsidRPr="007D3F44" w:rsidRDefault="00A43724" w:rsidP="00A43724">
      <w:pPr>
        <w:spacing w:line="360" w:lineRule="auto"/>
        <w:rPr>
          <w:rFonts w:ascii="新宋体" w:eastAsia="新宋体" w:hAnsi="新宋体"/>
        </w:rPr>
      </w:pPr>
      <w:r w:rsidRPr="007D3F44">
        <w:rPr>
          <w:rFonts w:ascii="新宋体" w:eastAsia="新宋体" w:hAnsi="新宋体" w:hint="eastAsia"/>
        </w:rPr>
        <w:t>5.除非采购人通过修改采购文件予以更正，否则，投标供应商应毫无例外地按响应文件所列的清单</w:t>
      </w:r>
      <w:proofErr w:type="gramStart"/>
      <w:r w:rsidRPr="007D3F44">
        <w:rPr>
          <w:rFonts w:ascii="新宋体" w:eastAsia="新宋体" w:hAnsi="新宋体" w:hint="eastAsia"/>
        </w:rPr>
        <w:t>中项目</w:t>
      </w:r>
      <w:proofErr w:type="gramEnd"/>
      <w:r w:rsidRPr="007D3F44">
        <w:rPr>
          <w:rFonts w:ascii="新宋体" w:eastAsia="新宋体" w:hAnsi="新宋体" w:hint="eastAsia"/>
        </w:rPr>
        <w:t>和数量填报综合单价和合价。投标供应商未</w:t>
      </w:r>
      <w:proofErr w:type="gramStart"/>
      <w:r w:rsidRPr="007D3F44">
        <w:rPr>
          <w:rFonts w:ascii="新宋体" w:eastAsia="新宋体" w:hAnsi="新宋体" w:hint="eastAsia"/>
        </w:rPr>
        <w:t>填综合</w:t>
      </w:r>
      <w:proofErr w:type="gramEnd"/>
      <w:r w:rsidRPr="007D3F44">
        <w:rPr>
          <w:rFonts w:ascii="新宋体" w:eastAsia="新宋体" w:hAnsi="新宋体" w:hint="eastAsia"/>
        </w:rPr>
        <w:t>单价或合价的项目，在实施后，将不得以支付，并视作该项费用已包括在其它有价款的综合单价或合价内；</w:t>
      </w:r>
    </w:p>
    <w:p w:rsidR="00A43724" w:rsidRPr="007D3F44" w:rsidRDefault="00A43724" w:rsidP="00A43724">
      <w:pPr>
        <w:spacing w:line="360" w:lineRule="auto"/>
        <w:rPr>
          <w:rFonts w:ascii="新宋体" w:eastAsia="新宋体" w:hAnsi="新宋体"/>
        </w:rPr>
      </w:pPr>
      <w:r w:rsidRPr="007D3F44">
        <w:rPr>
          <w:rFonts w:ascii="新宋体" w:eastAsia="新宋体" w:hAnsi="新宋体" w:hint="eastAsia"/>
        </w:rPr>
        <w:t>6.投标供应商应先到项目地点踏勘以充分了解项目的位置、情况、道路及任何其它足以影响投标报价的情况，任何因忽视或误解项目情况而导致的索赔或服务期限延长申请将不获批准；</w:t>
      </w:r>
    </w:p>
    <w:p w:rsidR="00A43724" w:rsidRPr="007D3F44" w:rsidRDefault="00A43724" w:rsidP="00A43724">
      <w:pPr>
        <w:spacing w:line="360" w:lineRule="auto"/>
        <w:rPr>
          <w:rFonts w:ascii="新宋体" w:eastAsia="新宋体" w:hAnsi="新宋体"/>
        </w:rPr>
      </w:pPr>
      <w:r w:rsidRPr="007D3F44">
        <w:rPr>
          <w:rFonts w:ascii="新宋体" w:eastAsia="新宋体" w:hAnsi="新宋体" w:hint="eastAsia"/>
        </w:rPr>
        <w:t>7.投标供应商不得期望通过索赔等方式获取补偿，否则，除可能遭到拒绝外，还可能将被作为不良行为记录在案，并可能影响其以后参加政府采购的项目投标。各投标供应商在报价时，应充分考虑报价的风险。</w:t>
      </w:r>
    </w:p>
    <w:p w:rsidR="00A05772" w:rsidRPr="00A43724" w:rsidRDefault="00A05772"/>
    <w:sectPr w:rsidR="00A05772" w:rsidRPr="00A437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724" w:rsidRDefault="00A43724" w:rsidP="00A43724">
      <w:r>
        <w:separator/>
      </w:r>
    </w:p>
  </w:endnote>
  <w:endnote w:type="continuationSeparator" w:id="0">
    <w:p w:rsidR="00A43724" w:rsidRDefault="00A43724" w:rsidP="00A4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724" w:rsidRDefault="00A43724" w:rsidP="00A43724">
      <w:r>
        <w:separator/>
      </w:r>
    </w:p>
  </w:footnote>
  <w:footnote w:type="continuationSeparator" w:id="0">
    <w:p w:rsidR="00A43724" w:rsidRDefault="00A43724" w:rsidP="00A43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B16"/>
    <w:rsid w:val="009A05CA"/>
    <w:rsid w:val="00A05772"/>
    <w:rsid w:val="00A43724"/>
    <w:rsid w:val="00B50B16"/>
    <w:rsid w:val="00ED2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724"/>
    <w:pPr>
      <w:widowControl w:val="0"/>
      <w:jc w:val="both"/>
    </w:pPr>
    <w:rPr>
      <w:rFonts w:ascii="Times New Roman" w:eastAsia="宋体" w:hAnsi="Times New Roman" w:cs="Times New Roman"/>
      <w:szCs w:val="24"/>
    </w:rPr>
  </w:style>
  <w:style w:type="paragraph" w:styleId="3">
    <w:name w:val="heading 3"/>
    <w:basedOn w:val="4"/>
    <w:next w:val="a"/>
    <w:link w:val="3Char1"/>
    <w:qFormat/>
    <w:rsid w:val="00A43724"/>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A4372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37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43724"/>
    <w:rPr>
      <w:sz w:val="18"/>
      <w:szCs w:val="18"/>
    </w:rPr>
  </w:style>
  <w:style w:type="paragraph" w:styleId="a4">
    <w:name w:val="footer"/>
    <w:basedOn w:val="a"/>
    <w:link w:val="Char0"/>
    <w:uiPriority w:val="99"/>
    <w:unhideWhenUsed/>
    <w:rsid w:val="00A437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43724"/>
    <w:rPr>
      <w:sz w:val="18"/>
      <w:szCs w:val="18"/>
    </w:rPr>
  </w:style>
  <w:style w:type="character" w:customStyle="1" w:styleId="3Char">
    <w:name w:val="标题 3 Char"/>
    <w:basedOn w:val="a0"/>
    <w:uiPriority w:val="9"/>
    <w:semiHidden/>
    <w:rsid w:val="00A43724"/>
    <w:rPr>
      <w:rFonts w:ascii="Times New Roman" w:eastAsia="宋体" w:hAnsi="Times New Roman" w:cs="Times New Roman"/>
      <w:b/>
      <w:bCs/>
      <w:sz w:val="32"/>
      <w:szCs w:val="32"/>
    </w:rPr>
  </w:style>
  <w:style w:type="character" w:customStyle="1" w:styleId="3Char1">
    <w:name w:val="标题 3 Char1"/>
    <w:link w:val="3"/>
    <w:qFormat/>
    <w:rsid w:val="00A43724"/>
    <w:rPr>
      <w:rFonts w:ascii="宋体" w:eastAsia="宋体" w:hAnsi="宋体" w:cs="Times New Roman"/>
      <w:b/>
      <w:bCs/>
      <w:sz w:val="28"/>
      <w:szCs w:val="32"/>
    </w:rPr>
  </w:style>
  <w:style w:type="character" w:customStyle="1" w:styleId="4Char">
    <w:name w:val="标题 4 Char"/>
    <w:basedOn w:val="a0"/>
    <w:link w:val="4"/>
    <w:uiPriority w:val="9"/>
    <w:semiHidden/>
    <w:rsid w:val="00A43724"/>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724"/>
    <w:pPr>
      <w:widowControl w:val="0"/>
      <w:jc w:val="both"/>
    </w:pPr>
    <w:rPr>
      <w:rFonts w:ascii="Times New Roman" w:eastAsia="宋体" w:hAnsi="Times New Roman" w:cs="Times New Roman"/>
      <w:szCs w:val="24"/>
    </w:rPr>
  </w:style>
  <w:style w:type="paragraph" w:styleId="3">
    <w:name w:val="heading 3"/>
    <w:basedOn w:val="4"/>
    <w:next w:val="a"/>
    <w:link w:val="3Char1"/>
    <w:qFormat/>
    <w:rsid w:val="00A43724"/>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A4372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37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43724"/>
    <w:rPr>
      <w:sz w:val="18"/>
      <w:szCs w:val="18"/>
    </w:rPr>
  </w:style>
  <w:style w:type="paragraph" w:styleId="a4">
    <w:name w:val="footer"/>
    <w:basedOn w:val="a"/>
    <w:link w:val="Char0"/>
    <w:uiPriority w:val="99"/>
    <w:unhideWhenUsed/>
    <w:rsid w:val="00A437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43724"/>
    <w:rPr>
      <w:sz w:val="18"/>
      <w:szCs w:val="18"/>
    </w:rPr>
  </w:style>
  <w:style w:type="character" w:customStyle="1" w:styleId="3Char">
    <w:name w:val="标题 3 Char"/>
    <w:basedOn w:val="a0"/>
    <w:uiPriority w:val="9"/>
    <w:semiHidden/>
    <w:rsid w:val="00A43724"/>
    <w:rPr>
      <w:rFonts w:ascii="Times New Roman" w:eastAsia="宋体" w:hAnsi="Times New Roman" w:cs="Times New Roman"/>
      <w:b/>
      <w:bCs/>
      <w:sz w:val="32"/>
      <w:szCs w:val="32"/>
    </w:rPr>
  </w:style>
  <w:style w:type="character" w:customStyle="1" w:styleId="3Char1">
    <w:name w:val="标题 3 Char1"/>
    <w:link w:val="3"/>
    <w:qFormat/>
    <w:rsid w:val="00A43724"/>
    <w:rPr>
      <w:rFonts w:ascii="宋体" w:eastAsia="宋体" w:hAnsi="宋体" w:cs="Times New Roman"/>
      <w:b/>
      <w:bCs/>
      <w:sz w:val="28"/>
      <w:szCs w:val="32"/>
    </w:rPr>
  </w:style>
  <w:style w:type="character" w:customStyle="1" w:styleId="4Char">
    <w:name w:val="标题 4 Char"/>
    <w:basedOn w:val="a0"/>
    <w:link w:val="4"/>
    <w:uiPriority w:val="9"/>
    <w:semiHidden/>
    <w:rsid w:val="00A43724"/>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4</cp:revision>
  <dcterms:created xsi:type="dcterms:W3CDTF">2022-11-23T09:48:00Z</dcterms:created>
  <dcterms:modified xsi:type="dcterms:W3CDTF">2022-11-23T09:52:00Z</dcterms:modified>
</cp:coreProperties>
</file>