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DDB" w:rsidRDefault="00726DDB" w:rsidP="00726DDB">
      <w:pPr>
        <w:pStyle w:val="a6"/>
        <w:numPr>
          <w:ilvl w:val="0"/>
          <w:numId w:val="1"/>
        </w:numPr>
        <w:adjustRightInd w:val="0"/>
        <w:snapToGrid w:val="0"/>
        <w:spacing w:line="360" w:lineRule="auto"/>
        <w:jc w:val="center"/>
        <w:outlineLvl w:val="0"/>
        <w:rPr>
          <w:rFonts w:ascii="新宋体" w:eastAsia="新宋体" w:hAnsi="新宋体" w:cs="Arial"/>
          <w:b/>
          <w:bCs/>
          <w:sz w:val="30"/>
          <w:szCs w:val="30"/>
        </w:rPr>
      </w:pPr>
      <w:r>
        <w:rPr>
          <w:rFonts w:ascii="新宋体" w:eastAsia="新宋体" w:hAnsi="新宋体" w:cs="Arial" w:hint="eastAsia"/>
          <w:b/>
          <w:bCs/>
          <w:sz w:val="30"/>
          <w:szCs w:val="30"/>
        </w:rPr>
        <w:t>竞价采购需求</w:t>
      </w:r>
    </w:p>
    <w:p w:rsidR="00726DDB" w:rsidRDefault="00726DDB" w:rsidP="00726DDB">
      <w:pPr>
        <w:pStyle w:val="a5"/>
        <w:rPr>
          <w:b/>
          <w:bCs/>
        </w:rPr>
      </w:pPr>
      <w:r>
        <w:rPr>
          <w:b/>
          <w:bCs/>
        </w:rPr>
        <w:t>（一）</w:t>
      </w:r>
      <w:r>
        <w:rPr>
          <w:rFonts w:hint="eastAsia"/>
          <w:b/>
          <w:bCs/>
        </w:rPr>
        <w:t>采购需求清单</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2358"/>
        <w:gridCol w:w="1866"/>
        <w:gridCol w:w="2303"/>
        <w:gridCol w:w="1134"/>
        <w:gridCol w:w="1341"/>
      </w:tblGrid>
      <w:tr w:rsidR="00726DDB" w:rsidTr="008E677B">
        <w:trPr>
          <w:trHeight w:val="832"/>
          <w:jc w:val="center"/>
        </w:trPr>
        <w:tc>
          <w:tcPr>
            <w:tcW w:w="711" w:type="dxa"/>
            <w:vAlign w:val="center"/>
          </w:tcPr>
          <w:p w:rsidR="00726DDB" w:rsidRDefault="00726DDB" w:rsidP="008E677B">
            <w:pPr>
              <w:jc w:val="center"/>
              <w:rPr>
                <w:rFonts w:ascii="新宋体" w:eastAsia="新宋体" w:hAnsi="新宋体"/>
                <w:b/>
                <w:bCs/>
              </w:rPr>
            </w:pPr>
            <w:r>
              <w:rPr>
                <w:rFonts w:ascii="新宋体" w:eastAsia="新宋体" w:hAnsi="新宋体" w:hint="eastAsia"/>
                <w:b/>
                <w:bCs/>
              </w:rPr>
              <w:t>序号</w:t>
            </w:r>
          </w:p>
        </w:tc>
        <w:tc>
          <w:tcPr>
            <w:tcW w:w="2358" w:type="dxa"/>
            <w:vAlign w:val="center"/>
          </w:tcPr>
          <w:p w:rsidR="00726DDB" w:rsidRDefault="00726DDB" w:rsidP="008E677B">
            <w:pPr>
              <w:jc w:val="center"/>
              <w:rPr>
                <w:rFonts w:ascii="新宋体" w:eastAsia="新宋体" w:hAnsi="新宋体"/>
                <w:b/>
                <w:bCs/>
              </w:rPr>
            </w:pPr>
            <w:r>
              <w:rPr>
                <w:rFonts w:ascii="新宋体" w:eastAsia="新宋体" w:hAnsi="新宋体" w:hint="eastAsia"/>
                <w:b/>
                <w:bCs/>
              </w:rPr>
              <w:t>设备名称</w:t>
            </w:r>
          </w:p>
        </w:tc>
        <w:tc>
          <w:tcPr>
            <w:tcW w:w="1866" w:type="dxa"/>
            <w:vAlign w:val="center"/>
          </w:tcPr>
          <w:p w:rsidR="00726DDB" w:rsidRDefault="00726DDB" w:rsidP="008E677B">
            <w:pPr>
              <w:jc w:val="center"/>
              <w:rPr>
                <w:rFonts w:ascii="新宋体" w:eastAsia="新宋体" w:hAnsi="新宋体"/>
                <w:b/>
                <w:bCs/>
              </w:rPr>
            </w:pPr>
            <w:r>
              <w:rPr>
                <w:rFonts w:ascii="新宋体" w:eastAsia="新宋体" w:hAnsi="新宋体" w:hint="eastAsia"/>
                <w:b/>
                <w:bCs/>
              </w:rPr>
              <w:t>*制造商或品牌</w:t>
            </w:r>
          </w:p>
        </w:tc>
        <w:tc>
          <w:tcPr>
            <w:tcW w:w="2303" w:type="dxa"/>
            <w:vAlign w:val="center"/>
          </w:tcPr>
          <w:p w:rsidR="00726DDB" w:rsidRDefault="00726DDB" w:rsidP="008E677B">
            <w:pPr>
              <w:jc w:val="center"/>
              <w:rPr>
                <w:rFonts w:ascii="新宋体" w:eastAsia="新宋体" w:hAnsi="新宋体"/>
                <w:b/>
                <w:bCs/>
              </w:rPr>
            </w:pPr>
            <w:r>
              <w:rPr>
                <w:rFonts w:ascii="新宋体" w:eastAsia="新宋体" w:hAnsi="新宋体" w:hint="eastAsia"/>
                <w:b/>
                <w:bCs/>
              </w:rPr>
              <w:t>*规格型号</w:t>
            </w:r>
          </w:p>
        </w:tc>
        <w:tc>
          <w:tcPr>
            <w:tcW w:w="1134" w:type="dxa"/>
            <w:shd w:val="clear" w:color="auto" w:fill="auto"/>
            <w:vAlign w:val="center"/>
          </w:tcPr>
          <w:p w:rsidR="00726DDB" w:rsidRDefault="00726DDB" w:rsidP="008E677B">
            <w:pPr>
              <w:jc w:val="center"/>
              <w:rPr>
                <w:rFonts w:ascii="新宋体" w:eastAsia="新宋体" w:hAnsi="新宋体"/>
                <w:b/>
                <w:bCs/>
              </w:rPr>
            </w:pPr>
            <w:r>
              <w:rPr>
                <w:rFonts w:ascii="新宋体" w:eastAsia="新宋体" w:hAnsi="新宋体" w:hint="eastAsia"/>
                <w:b/>
                <w:bCs/>
              </w:rPr>
              <w:t>数量</w:t>
            </w:r>
          </w:p>
          <w:p w:rsidR="00726DDB" w:rsidRDefault="00726DDB" w:rsidP="008E677B">
            <w:pPr>
              <w:jc w:val="center"/>
              <w:rPr>
                <w:rFonts w:ascii="新宋体" w:eastAsia="新宋体" w:hAnsi="新宋体"/>
                <w:b/>
                <w:bCs/>
              </w:rPr>
            </w:pPr>
            <w:r>
              <w:rPr>
                <w:rFonts w:ascii="新宋体" w:eastAsia="新宋体" w:hAnsi="新宋体" w:hint="eastAsia"/>
                <w:b/>
                <w:bCs/>
              </w:rPr>
              <w:t>单位</w:t>
            </w:r>
          </w:p>
        </w:tc>
        <w:tc>
          <w:tcPr>
            <w:tcW w:w="1341" w:type="dxa"/>
            <w:vAlign w:val="center"/>
          </w:tcPr>
          <w:p w:rsidR="00726DDB" w:rsidRDefault="00726DDB" w:rsidP="008E677B">
            <w:pPr>
              <w:jc w:val="center"/>
              <w:rPr>
                <w:rFonts w:ascii="新宋体" w:eastAsia="新宋体" w:hAnsi="新宋体"/>
                <w:b/>
                <w:bCs/>
              </w:rPr>
            </w:pPr>
            <w:r>
              <w:rPr>
                <w:rFonts w:ascii="新宋体" w:eastAsia="新宋体" w:hAnsi="新宋体" w:hint="eastAsia"/>
                <w:b/>
                <w:bCs/>
              </w:rPr>
              <w:t>备注</w:t>
            </w:r>
          </w:p>
        </w:tc>
      </w:tr>
      <w:tr w:rsidR="00726DDB" w:rsidTr="008E677B">
        <w:trPr>
          <w:trHeight w:val="624"/>
          <w:jc w:val="center"/>
        </w:trPr>
        <w:tc>
          <w:tcPr>
            <w:tcW w:w="711" w:type="dxa"/>
            <w:vAlign w:val="center"/>
          </w:tcPr>
          <w:p w:rsidR="00726DDB" w:rsidRDefault="00726DDB" w:rsidP="008E677B">
            <w:pPr>
              <w:jc w:val="center"/>
              <w:rPr>
                <w:rFonts w:ascii="新宋体" w:eastAsia="新宋体" w:hAnsi="新宋体"/>
              </w:rPr>
            </w:pPr>
            <w:r>
              <w:rPr>
                <w:rFonts w:ascii="新宋体" w:eastAsia="新宋体" w:hAnsi="新宋体" w:hint="eastAsia"/>
              </w:rPr>
              <w:t>1</w:t>
            </w:r>
          </w:p>
        </w:tc>
        <w:tc>
          <w:tcPr>
            <w:tcW w:w="2358" w:type="dxa"/>
            <w:vAlign w:val="center"/>
          </w:tcPr>
          <w:p w:rsidR="00726DDB" w:rsidRDefault="00726DDB" w:rsidP="008E677B">
            <w:pPr>
              <w:jc w:val="center"/>
              <w:rPr>
                <w:rFonts w:ascii="新宋体" w:eastAsia="新宋体" w:hAnsi="新宋体"/>
              </w:rPr>
            </w:pPr>
            <w:r>
              <w:rPr>
                <w:rFonts w:ascii="新宋体" w:eastAsia="新宋体" w:hAnsi="新宋体" w:hint="eastAsia"/>
              </w:rPr>
              <w:t>冷原子吸收测汞仪</w:t>
            </w:r>
          </w:p>
        </w:tc>
        <w:tc>
          <w:tcPr>
            <w:tcW w:w="1866" w:type="dxa"/>
            <w:vAlign w:val="center"/>
          </w:tcPr>
          <w:p w:rsidR="00726DDB" w:rsidRDefault="00726DDB" w:rsidP="008E677B">
            <w:pPr>
              <w:jc w:val="center"/>
              <w:rPr>
                <w:rFonts w:ascii="新宋体" w:eastAsia="新宋体" w:hAnsi="新宋体"/>
              </w:rPr>
            </w:pPr>
            <w:r>
              <w:rPr>
                <w:rFonts w:ascii="新宋体" w:eastAsia="新宋体" w:hAnsi="新宋体" w:hint="eastAsia"/>
              </w:rPr>
              <w:t>欧卫</w:t>
            </w:r>
          </w:p>
        </w:tc>
        <w:tc>
          <w:tcPr>
            <w:tcW w:w="2303" w:type="dxa"/>
            <w:vAlign w:val="center"/>
          </w:tcPr>
          <w:p w:rsidR="00726DDB" w:rsidRDefault="00726DDB" w:rsidP="008E677B">
            <w:pPr>
              <w:jc w:val="center"/>
              <w:rPr>
                <w:rFonts w:ascii="新宋体" w:eastAsia="新宋体" w:hAnsi="新宋体"/>
              </w:rPr>
            </w:pPr>
            <w:r>
              <w:rPr>
                <w:rFonts w:ascii="新宋体" w:eastAsia="新宋体" w:hAnsi="新宋体"/>
              </w:rPr>
              <w:t>ORAMA-700+SANPRA5</w:t>
            </w:r>
          </w:p>
        </w:tc>
        <w:tc>
          <w:tcPr>
            <w:tcW w:w="1134" w:type="dxa"/>
            <w:shd w:val="clear" w:color="auto" w:fill="auto"/>
            <w:vAlign w:val="center"/>
          </w:tcPr>
          <w:p w:rsidR="00726DDB" w:rsidRDefault="00726DDB" w:rsidP="008E677B">
            <w:pPr>
              <w:jc w:val="center"/>
              <w:rPr>
                <w:rFonts w:ascii="新宋体" w:eastAsia="新宋体" w:hAnsi="新宋体"/>
              </w:rPr>
            </w:pPr>
            <w:r>
              <w:rPr>
                <w:rFonts w:ascii="新宋体" w:eastAsia="新宋体" w:hAnsi="新宋体" w:hint="eastAsia"/>
              </w:rPr>
              <w:t>1台</w:t>
            </w:r>
          </w:p>
        </w:tc>
        <w:tc>
          <w:tcPr>
            <w:tcW w:w="1341" w:type="dxa"/>
            <w:vAlign w:val="center"/>
          </w:tcPr>
          <w:p w:rsidR="00726DDB" w:rsidRDefault="00726DDB" w:rsidP="008E677B">
            <w:pPr>
              <w:jc w:val="center"/>
              <w:rPr>
                <w:rFonts w:ascii="新宋体" w:eastAsia="新宋体" w:hAnsi="新宋体"/>
              </w:rPr>
            </w:pPr>
            <w:r>
              <w:rPr>
                <w:rFonts w:ascii="新宋体" w:eastAsia="新宋体" w:hAnsi="新宋体" w:hint="eastAsia"/>
              </w:rPr>
              <w:t>核心设备</w:t>
            </w:r>
          </w:p>
        </w:tc>
      </w:tr>
      <w:tr w:rsidR="00726DDB" w:rsidTr="008E677B">
        <w:trPr>
          <w:trHeight w:val="624"/>
          <w:jc w:val="center"/>
        </w:trPr>
        <w:tc>
          <w:tcPr>
            <w:tcW w:w="711" w:type="dxa"/>
            <w:vAlign w:val="center"/>
          </w:tcPr>
          <w:p w:rsidR="00726DDB" w:rsidRDefault="00726DDB" w:rsidP="008E677B">
            <w:pPr>
              <w:jc w:val="center"/>
              <w:rPr>
                <w:rFonts w:ascii="新宋体" w:eastAsia="新宋体" w:hAnsi="新宋体"/>
              </w:rPr>
            </w:pPr>
            <w:r>
              <w:rPr>
                <w:rFonts w:ascii="新宋体" w:eastAsia="新宋体" w:hAnsi="新宋体" w:hint="eastAsia"/>
              </w:rPr>
              <w:t>2</w:t>
            </w:r>
          </w:p>
        </w:tc>
        <w:tc>
          <w:tcPr>
            <w:tcW w:w="2358" w:type="dxa"/>
            <w:vAlign w:val="center"/>
          </w:tcPr>
          <w:p w:rsidR="00726DDB" w:rsidRDefault="00726DDB" w:rsidP="008E677B">
            <w:pPr>
              <w:jc w:val="center"/>
              <w:rPr>
                <w:rFonts w:ascii="新宋体" w:eastAsia="新宋体" w:hAnsi="新宋体"/>
              </w:rPr>
            </w:pPr>
            <w:r>
              <w:rPr>
                <w:rFonts w:ascii="新宋体" w:eastAsia="新宋体" w:hAnsi="新宋体" w:hint="eastAsia"/>
              </w:rPr>
              <w:t>气相色谱仪</w:t>
            </w:r>
          </w:p>
        </w:tc>
        <w:tc>
          <w:tcPr>
            <w:tcW w:w="1866" w:type="dxa"/>
            <w:vAlign w:val="center"/>
          </w:tcPr>
          <w:p w:rsidR="00726DDB" w:rsidRDefault="00726DDB" w:rsidP="008E677B">
            <w:pPr>
              <w:jc w:val="center"/>
              <w:rPr>
                <w:rFonts w:ascii="新宋体" w:eastAsia="新宋体" w:hAnsi="新宋体"/>
              </w:rPr>
            </w:pPr>
            <w:r>
              <w:rPr>
                <w:rFonts w:ascii="新宋体" w:eastAsia="新宋体" w:hAnsi="新宋体" w:hint="eastAsia"/>
              </w:rPr>
              <w:t>安捷伦</w:t>
            </w:r>
          </w:p>
        </w:tc>
        <w:tc>
          <w:tcPr>
            <w:tcW w:w="2303" w:type="dxa"/>
            <w:vAlign w:val="center"/>
          </w:tcPr>
          <w:p w:rsidR="00726DDB" w:rsidRDefault="00726DDB" w:rsidP="008E677B">
            <w:pPr>
              <w:jc w:val="center"/>
              <w:rPr>
                <w:rFonts w:ascii="新宋体" w:eastAsia="新宋体" w:hAnsi="新宋体"/>
              </w:rPr>
            </w:pPr>
            <w:r>
              <w:rPr>
                <w:rFonts w:ascii="新宋体" w:eastAsia="新宋体" w:hAnsi="新宋体" w:hint="eastAsia"/>
              </w:rPr>
              <w:t>8890</w:t>
            </w:r>
          </w:p>
        </w:tc>
        <w:tc>
          <w:tcPr>
            <w:tcW w:w="1134" w:type="dxa"/>
            <w:shd w:val="clear" w:color="auto" w:fill="auto"/>
            <w:vAlign w:val="center"/>
          </w:tcPr>
          <w:p w:rsidR="00726DDB" w:rsidRDefault="00726DDB" w:rsidP="008E677B">
            <w:pPr>
              <w:jc w:val="center"/>
              <w:rPr>
                <w:rFonts w:ascii="新宋体" w:eastAsia="新宋体" w:hAnsi="新宋体"/>
              </w:rPr>
            </w:pPr>
            <w:r>
              <w:rPr>
                <w:rFonts w:ascii="新宋体" w:eastAsia="新宋体" w:hAnsi="新宋体" w:hint="eastAsia"/>
              </w:rPr>
              <w:t>1台</w:t>
            </w:r>
          </w:p>
        </w:tc>
        <w:tc>
          <w:tcPr>
            <w:tcW w:w="1341" w:type="dxa"/>
            <w:vAlign w:val="center"/>
          </w:tcPr>
          <w:p w:rsidR="00726DDB" w:rsidRDefault="00726DDB" w:rsidP="008E677B">
            <w:pPr>
              <w:jc w:val="center"/>
              <w:rPr>
                <w:rFonts w:ascii="新宋体" w:eastAsia="新宋体" w:hAnsi="新宋体"/>
              </w:rPr>
            </w:pPr>
            <w:r>
              <w:rPr>
                <w:rFonts w:ascii="新宋体" w:eastAsia="新宋体" w:hAnsi="新宋体" w:hint="eastAsia"/>
              </w:rPr>
              <w:t>核心设备</w:t>
            </w:r>
          </w:p>
        </w:tc>
      </w:tr>
      <w:tr w:rsidR="00726DDB" w:rsidTr="008E677B">
        <w:trPr>
          <w:trHeight w:val="624"/>
          <w:jc w:val="center"/>
        </w:trPr>
        <w:tc>
          <w:tcPr>
            <w:tcW w:w="711" w:type="dxa"/>
            <w:vAlign w:val="center"/>
          </w:tcPr>
          <w:p w:rsidR="00726DDB" w:rsidRDefault="00726DDB" w:rsidP="008E677B">
            <w:pPr>
              <w:jc w:val="center"/>
              <w:rPr>
                <w:rFonts w:ascii="新宋体" w:eastAsia="新宋体" w:hAnsi="新宋体"/>
              </w:rPr>
            </w:pPr>
            <w:r>
              <w:rPr>
                <w:rFonts w:ascii="新宋体" w:eastAsia="新宋体" w:hAnsi="新宋体" w:hint="eastAsia"/>
              </w:rPr>
              <w:t>3</w:t>
            </w:r>
          </w:p>
        </w:tc>
        <w:tc>
          <w:tcPr>
            <w:tcW w:w="2358" w:type="dxa"/>
            <w:vAlign w:val="center"/>
          </w:tcPr>
          <w:p w:rsidR="00726DDB" w:rsidRDefault="00726DDB" w:rsidP="008E677B">
            <w:pPr>
              <w:jc w:val="center"/>
              <w:rPr>
                <w:rFonts w:ascii="新宋体" w:eastAsia="新宋体" w:hAnsi="新宋体"/>
              </w:rPr>
            </w:pPr>
            <w:r>
              <w:rPr>
                <w:rFonts w:ascii="新宋体" w:eastAsia="新宋体" w:hAnsi="新宋体" w:hint="eastAsia"/>
              </w:rPr>
              <w:t>高压灭菌锅</w:t>
            </w:r>
          </w:p>
        </w:tc>
        <w:tc>
          <w:tcPr>
            <w:tcW w:w="1866" w:type="dxa"/>
            <w:vAlign w:val="center"/>
          </w:tcPr>
          <w:p w:rsidR="00726DDB" w:rsidRDefault="00726DDB" w:rsidP="008E677B">
            <w:pPr>
              <w:jc w:val="center"/>
              <w:rPr>
                <w:rFonts w:ascii="新宋体" w:eastAsia="新宋体" w:hAnsi="新宋体"/>
              </w:rPr>
            </w:pPr>
            <w:r>
              <w:rPr>
                <w:rFonts w:ascii="新宋体" w:eastAsia="新宋体" w:hAnsi="新宋体" w:hint="eastAsia"/>
              </w:rPr>
              <w:t>雅马拓</w:t>
            </w:r>
          </w:p>
        </w:tc>
        <w:tc>
          <w:tcPr>
            <w:tcW w:w="2303" w:type="dxa"/>
            <w:vAlign w:val="center"/>
          </w:tcPr>
          <w:p w:rsidR="00726DDB" w:rsidRDefault="00726DDB" w:rsidP="008E677B">
            <w:pPr>
              <w:jc w:val="center"/>
              <w:rPr>
                <w:rFonts w:ascii="新宋体" w:eastAsia="新宋体" w:hAnsi="新宋体"/>
              </w:rPr>
            </w:pPr>
            <w:r>
              <w:rPr>
                <w:rFonts w:ascii="新宋体" w:eastAsia="新宋体" w:hAnsi="新宋体" w:hint="eastAsia"/>
              </w:rPr>
              <w:t>SQ810C</w:t>
            </w:r>
          </w:p>
        </w:tc>
        <w:tc>
          <w:tcPr>
            <w:tcW w:w="1134" w:type="dxa"/>
            <w:shd w:val="clear" w:color="auto" w:fill="auto"/>
            <w:vAlign w:val="center"/>
          </w:tcPr>
          <w:p w:rsidR="00726DDB" w:rsidRDefault="00726DDB" w:rsidP="008E677B">
            <w:pPr>
              <w:jc w:val="center"/>
              <w:rPr>
                <w:rFonts w:ascii="新宋体" w:eastAsia="新宋体" w:hAnsi="新宋体"/>
              </w:rPr>
            </w:pPr>
            <w:r>
              <w:rPr>
                <w:rFonts w:ascii="新宋体" w:eastAsia="新宋体" w:hAnsi="新宋体" w:hint="eastAsia"/>
              </w:rPr>
              <w:t>1台</w:t>
            </w:r>
          </w:p>
        </w:tc>
        <w:tc>
          <w:tcPr>
            <w:tcW w:w="1341" w:type="dxa"/>
            <w:vAlign w:val="center"/>
          </w:tcPr>
          <w:p w:rsidR="00726DDB" w:rsidRDefault="00726DDB" w:rsidP="008E677B">
            <w:pPr>
              <w:jc w:val="center"/>
              <w:rPr>
                <w:rFonts w:ascii="新宋体" w:eastAsia="新宋体" w:hAnsi="新宋体"/>
              </w:rPr>
            </w:pPr>
          </w:p>
        </w:tc>
      </w:tr>
      <w:tr w:rsidR="00726DDB" w:rsidTr="008E677B">
        <w:trPr>
          <w:trHeight w:val="624"/>
          <w:jc w:val="center"/>
        </w:trPr>
        <w:tc>
          <w:tcPr>
            <w:tcW w:w="3069" w:type="dxa"/>
            <w:gridSpan w:val="2"/>
            <w:vAlign w:val="center"/>
          </w:tcPr>
          <w:p w:rsidR="00726DDB" w:rsidRDefault="00726DDB" w:rsidP="008E677B">
            <w:pPr>
              <w:jc w:val="center"/>
              <w:rPr>
                <w:rFonts w:ascii="新宋体" w:eastAsia="新宋体" w:hAnsi="新宋体"/>
              </w:rPr>
            </w:pPr>
            <w:r>
              <w:rPr>
                <w:rFonts w:ascii="新宋体" w:eastAsia="新宋体" w:hAnsi="新宋体" w:hint="eastAsia"/>
              </w:rPr>
              <w:t>预算限价</w:t>
            </w:r>
          </w:p>
        </w:tc>
        <w:tc>
          <w:tcPr>
            <w:tcW w:w="6644" w:type="dxa"/>
            <w:gridSpan w:val="4"/>
            <w:vAlign w:val="center"/>
          </w:tcPr>
          <w:p w:rsidR="00726DDB" w:rsidRDefault="00726DDB" w:rsidP="008E677B">
            <w:pPr>
              <w:jc w:val="center"/>
              <w:rPr>
                <w:rFonts w:ascii="新宋体" w:eastAsia="新宋体" w:hAnsi="新宋体"/>
              </w:rPr>
            </w:pPr>
            <w:r>
              <w:rPr>
                <w:rFonts w:ascii="新宋体" w:eastAsia="新宋体" w:hAnsi="新宋体" w:hint="eastAsia"/>
              </w:rPr>
              <w:t>9</w:t>
            </w:r>
            <w:r>
              <w:rPr>
                <w:rFonts w:ascii="新宋体" w:eastAsia="新宋体" w:hAnsi="新宋体"/>
                <w:lang w:val="en"/>
              </w:rPr>
              <w:t>6.</w:t>
            </w:r>
            <w:r>
              <w:rPr>
                <w:rFonts w:ascii="新宋体" w:eastAsia="新宋体" w:hAnsi="新宋体" w:hint="eastAsia"/>
              </w:rPr>
              <w:t>8万元</w:t>
            </w:r>
          </w:p>
        </w:tc>
      </w:tr>
    </w:tbl>
    <w:p w:rsidR="00726DDB" w:rsidRDefault="00726DDB" w:rsidP="00726DDB">
      <w:pPr>
        <w:pStyle w:val="a5"/>
      </w:pPr>
    </w:p>
    <w:p w:rsidR="00726DDB" w:rsidRDefault="00726DDB" w:rsidP="00726DDB">
      <w:pPr>
        <w:pStyle w:val="a5"/>
        <w:rPr>
          <w:b/>
          <w:bCs/>
        </w:rPr>
      </w:pPr>
      <w:r>
        <w:rPr>
          <w:b/>
          <w:bCs/>
        </w:rPr>
        <w:t>（二）</w:t>
      </w:r>
      <w:r>
        <w:rPr>
          <w:rFonts w:hint="eastAsia"/>
          <w:b/>
          <w:bCs/>
        </w:rPr>
        <w:t>*技术需求</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7720"/>
      </w:tblGrid>
      <w:tr w:rsidR="00726DDB" w:rsidTr="008E677B">
        <w:trPr>
          <w:trHeight w:val="604"/>
          <w:jc w:val="center"/>
        </w:trPr>
        <w:tc>
          <w:tcPr>
            <w:tcW w:w="1993" w:type="dxa"/>
            <w:shd w:val="clear" w:color="auto" w:fill="C7D9F1" w:themeFill="text2" w:themeFillTint="32"/>
            <w:vAlign w:val="center"/>
          </w:tcPr>
          <w:p w:rsidR="00726DDB" w:rsidRDefault="00726DDB" w:rsidP="008E677B">
            <w:pPr>
              <w:adjustRightInd w:val="0"/>
              <w:snapToGrid w:val="0"/>
              <w:spacing w:line="276" w:lineRule="auto"/>
              <w:jc w:val="center"/>
              <w:rPr>
                <w:rFonts w:ascii="新宋体" w:eastAsia="新宋体" w:hAnsi="新宋体" w:cs="CESI宋体-GB13000"/>
                <w:b/>
                <w:szCs w:val="21"/>
              </w:rPr>
            </w:pPr>
            <w:r>
              <w:rPr>
                <w:rFonts w:ascii="新宋体" w:eastAsia="新宋体" w:hAnsi="新宋体" w:cs="CESI宋体-GB13000" w:hint="eastAsia"/>
                <w:b/>
                <w:szCs w:val="21"/>
              </w:rPr>
              <w:t>设备名称</w:t>
            </w:r>
          </w:p>
        </w:tc>
        <w:tc>
          <w:tcPr>
            <w:tcW w:w="7720" w:type="dxa"/>
            <w:shd w:val="clear" w:color="auto" w:fill="C7D9F1" w:themeFill="text2" w:themeFillTint="32"/>
            <w:vAlign w:val="center"/>
          </w:tcPr>
          <w:p w:rsidR="00726DDB" w:rsidRDefault="00726DDB" w:rsidP="008E677B">
            <w:pPr>
              <w:adjustRightInd w:val="0"/>
              <w:snapToGrid w:val="0"/>
              <w:spacing w:line="276" w:lineRule="auto"/>
              <w:jc w:val="center"/>
              <w:rPr>
                <w:rFonts w:ascii="新宋体" w:eastAsia="新宋体" w:hAnsi="新宋体" w:cs="CESI宋体-GB13000"/>
                <w:b/>
                <w:szCs w:val="21"/>
              </w:rPr>
            </w:pPr>
            <w:r>
              <w:rPr>
                <w:rFonts w:ascii="新宋体" w:eastAsia="新宋体" w:hAnsi="新宋体" w:cs="CESI宋体-GB13000" w:hint="eastAsia"/>
                <w:b/>
                <w:szCs w:val="21"/>
              </w:rPr>
              <w:t>技术需求</w:t>
            </w:r>
          </w:p>
        </w:tc>
      </w:tr>
      <w:tr w:rsidR="00726DDB" w:rsidTr="008E677B">
        <w:trPr>
          <w:trHeight w:val="90"/>
          <w:jc w:val="center"/>
        </w:trPr>
        <w:tc>
          <w:tcPr>
            <w:tcW w:w="1993" w:type="dxa"/>
            <w:vAlign w:val="center"/>
          </w:tcPr>
          <w:p w:rsidR="00726DDB" w:rsidRDefault="00726DDB" w:rsidP="008E677B">
            <w:pPr>
              <w:adjustRightInd w:val="0"/>
              <w:snapToGrid w:val="0"/>
              <w:spacing w:line="276" w:lineRule="auto"/>
              <w:jc w:val="center"/>
              <w:rPr>
                <w:rFonts w:ascii="新宋体" w:eastAsia="新宋体" w:hAnsi="新宋体" w:cs="CESI宋体-GB13000"/>
                <w:color w:val="000000"/>
                <w:kern w:val="0"/>
                <w:szCs w:val="21"/>
                <w:lang w:bidi="ar"/>
              </w:rPr>
            </w:pPr>
            <w:r>
              <w:rPr>
                <w:rFonts w:ascii="新宋体" w:eastAsia="新宋体" w:hAnsi="新宋体" w:cs="东文宋体" w:hint="eastAsia"/>
                <w:szCs w:val="21"/>
              </w:rPr>
              <w:t>▲</w:t>
            </w:r>
            <w:r>
              <w:rPr>
                <w:rFonts w:ascii="新宋体" w:eastAsia="新宋体" w:hAnsi="新宋体" w:cs="CESI宋体-GB13000" w:hint="eastAsia"/>
                <w:color w:val="000000"/>
                <w:kern w:val="0"/>
                <w:szCs w:val="21"/>
                <w:lang w:bidi="ar"/>
              </w:rPr>
              <w:t>冷原子吸收测汞仪</w:t>
            </w:r>
          </w:p>
        </w:tc>
        <w:tc>
          <w:tcPr>
            <w:tcW w:w="7720" w:type="dxa"/>
            <w:vAlign w:val="center"/>
          </w:tcPr>
          <w:p w:rsidR="00726DDB" w:rsidRDefault="00726DDB" w:rsidP="008E677B">
            <w:pPr>
              <w:jc w:val="left"/>
              <w:rPr>
                <w:rFonts w:ascii="新宋体" w:eastAsia="新宋体" w:hAnsi="新宋体"/>
              </w:rPr>
            </w:pPr>
            <w:r>
              <w:rPr>
                <w:rFonts w:ascii="新宋体" w:eastAsia="新宋体" w:hAnsi="新宋体" w:hint="eastAsia"/>
              </w:rPr>
              <w:t>1.仪器总体要求</w:t>
            </w:r>
          </w:p>
          <w:p w:rsidR="00726DDB" w:rsidRDefault="00726DDB" w:rsidP="008E677B">
            <w:pPr>
              <w:jc w:val="left"/>
              <w:rPr>
                <w:rFonts w:ascii="新宋体" w:eastAsia="新宋体" w:hAnsi="新宋体"/>
              </w:rPr>
            </w:pPr>
            <w:r>
              <w:rPr>
                <w:rFonts w:ascii="新宋体" w:eastAsia="新宋体" w:hAnsi="新宋体" w:hint="eastAsia"/>
              </w:rPr>
              <w:t>满足《水质 总汞的测定 冷原子吸收分光光度法》（HJ 597-2011）中关于冷原子吸收测汞仪的要求。</w:t>
            </w:r>
          </w:p>
          <w:p w:rsidR="00726DDB" w:rsidRDefault="00726DDB" w:rsidP="008E677B">
            <w:pPr>
              <w:jc w:val="left"/>
              <w:rPr>
                <w:rFonts w:ascii="新宋体" w:eastAsia="新宋体" w:hAnsi="新宋体"/>
              </w:rPr>
            </w:pPr>
            <w:r>
              <w:rPr>
                <w:rFonts w:ascii="新宋体" w:eastAsia="新宋体" w:hAnsi="新宋体" w:hint="eastAsia"/>
              </w:rPr>
              <w:t>2.主要用途</w:t>
            </w:r>
          </w:p>
          <w:p w:rsidR="00726DDB" w:rsidRDefault="00726DDB" w:rsidP="008E677B">
            <w:pPr>
              <w:jc w:val="left"/>
              <w:rPr>
                <w:rFonts w:ascii="新宋体" w:eastAsia="新宋体" w:hAnsi="新宋体"/>
              </w:rPr>
            </w:pPr>
            <w:r>
              <w:rPr>
                <w:rFonts w:ascii="新宋体" w:eastAsia="新宋体" w:hAnsi="新宋体" w:hint="eastAsia"/>
              </w:rPr>
              <w:t>用于测定地表水、地下水、工业废水和生活污水中总汞的测定。</w:t>
            </w:r>
          </w:p>
          <w:p w:rsidR="00726DDB" w:rsidRDefault="00726DDB" w:rsidP="008E677B">
            <w:pPr>
              <w:jc w:val="left"/>
              <w:rPr>
                <w:rFonts w:ascii="新宋体" w:eastAsia="新宋体" w:hAnsi="新宋体"/>
              </w:rPr>
            </w:pPr>
            <w:r>
              <w:rPr>
                <w:rFonts w:ascii="新宋体" w:eastAsia="新宋体" w:hAnsi="新宋体" w:hint="eastAsia"/>
              </w:rPr>
              <w:t>3.技术要求</w:t>
            </w:r>
          </w:p>
          <w:p w:rsidR="00726DDB" w:rsidRDefault="00726DDB" w:rsidP="008E677B">
            <w:pPr>
              <w:jc w:val="left"/>
              <w:rPr>
                <w:rFonts w:ascii="新宋体" w:eastAsia="新宋体" w:hAnsi="新宋体"/>
              </w:rPr>
            </w:pPr>
            <w:r>
              <w:rPr>
                <w:rFonts w:ascii="新宋体" w:eastAsia="新宋体" w:hAnsi="新宋体" w:hint="eastAsia"/>
              </w:rPr>
              <w:t>*3.1仪器采用冷原子吸收法原理进行检测。</w:t>
            </w:r>
          </w:p>
          <w:p w:rsidR="00726DDB" w:rsidRDefault="00726DDB" w:rsidP="008E677B">
            <w:pPr>
              <w:jc w:val="left"/>
              <w:rPr>
                <w:rFonts w:ascii="新宋体" w:eastAsia="新宋体" w:hAnsi="新宋体"/>
              </w:rPr>
            </w:pPr>
            <w:r>
              <w:rPr>
                <w:rFonts w:ascii="新宋体" w:eastAsia="新宋体" w:hAnsi="新宋体" w:hint="eastAsia"/>
              </w:rPr>
              <w:t>*3.2 仪器内置加热消解装置，可以使消解和汞还原过程在仪器内部进行，不需要进行消解和氧化还原反应的样品转移过程,加热温度可达到95℃。</w:t>
            </w:r>
          </w:p>
          <w:p w:rsidR="00726DDB" w:rsidRDefault="00726DDB" w:rsidP="008E677B">
            <w:pPr>
              <w:jc w:val="left"/>
              <w:rPr>
                <w:rFonts w:ascii="新宋体" w:eastAsia="新宋体" w:hAnsi="新宋体"/>
              </w:rPr>
            </w:pPr>
            <w:r>
              <w:rPr>
                <w:rFonts w:ascii="新宋体" w:eastAsia="新宋体" w:hAnsi="新宋体" w:hint="eastAsia"/>
              </w:rPr>
              <w:t>3.3 仪器采用氧化还原法，将样品在酸性环境下进行还原，还原后的汞原子通过冷原子吸收检测器进行检测。</w:t>
            </w:r>
          </w:p>
          <w:p w:rsidR="00726DDB" w:rsidRDefault="00726DDB" w:rsidP="008E677B">
            <w:pPr>
              <w:jc w:val="left"/>
              <w:rPr>
                <w:rFonts w:ascii="新宋体" w:eastAsia="新宋体" w:hAnsi="新宋体"/>
              </w:rPr>
            </w:pPr>
            <w:r>
              <w:rPr>
                <w:rFonts w:ascii="新宋体" w:eastAsia="新宋体" w:hAnsi="新宋体" w:hint="eastAsia"/>
              </w:rPr>
              <w:t>*3.4 适用范围：</w:t>
            </w:r>
          </w:p>
          <w:p w:rsidR="00726DDB" w:rsidRDefault="00726DDB" w:rsidP="008E677B">
            <w:pPr>
              <w:jc w:val="left"/>
              <w:rPr>
                <w:rFonts w:ascii="新宋体" w:eastAsia="新宋体" w:hAnsi="新宋体"/>
              </w:rPr>
            </w:pPr>
            <w:r>
              <w:rPr>
                <w:rFonts w:ascii="新宋体" w:eastAsia="新宋体" w:hAnsi="新宋体" w:hint="eastAsia"/>
              </w:rPr>
              <w:t>直接上样消解：大部分液体样品，包括饮用水，工业废水，地表水，海水，雨水等。</w:t>
            </w:r>
          </w:p>
          <w:p w:rsidR="00726DDB" w:rsidRDefault="00726DDB" w:rsidP="008E677B">
            <w:pPr>
              <w:jc w:val="left"/>
              <w:rPr>
                <w:rFonts w:ascii="新宋体" w:eastAsia="新宋体" w:hAnsi="新宋体"/>
              </w:rPr>
            </w:pPr>
            <w:r>
              <w:rPr>
                <w:rFonts w:ascii="新宋体" w:eastAsia="新宋体" w:hAnsi="新宋体" w:hint="eastAsia"/>
              </w:rPr>
              <w:t>消解完后上样：固体样品，包含土壤、淤泥等。</w:t>
            </w:r>
          </w:p>
          <w:p w:rsidR="00726DDB" w:rsidRDefault="00726DDB" w:rsidP="008E677B">
            <w:pPr>
              <w:jc w:val="left"/>
              <w:rPr>
                <w:rFonts w:ascii="新宋体" w:eastAsia="新宋体" w:hAnsi="新宋体"/>
              </w:rPr>
            </w:pPr>
            <w:r>
              <w:rPr>
                <w:rFonts w:ascii="新宋体" w:eastAsia="新宋体" w:hAnsi="新宋体" w:hint="eastAsia"/>
              </w:rPr>
              <w:t>3.5 仪器内有自动进样器，样品位数量不得低于80位</w:t>
            </w:r>
          </w:p>
          <w:p w:rsidR="00726DDB" w:rsidRDefault="00726DDB" w:rsidP="008E677B">
            <w:pPr>
              <w:jc w:val="left"/>
              <w:rPr>
                <w:rFonts w:ascii="新宋体" w:eastAsia="新宋体" w:hAnsi="新宋体"/>
              </w:rPr>
            </w:pPr>
            <w:r>
              <w:rPr>
                <w:rFonts w:ascii="新宋体" w:eastAsia="新宋体" w:hAnsi="新宋体" w:hint="eastAsia"/>
              </w:rPr>
              <w:t>3.6 仪器光源采用低压汞灯</w:t>
            </w:r>
          </w:p>
          <w:p w:rsidR="00726DDB" w:rsidRDefault="00726DDB" w:rsidP="008E677B">
            <w:pPr>
              <w:jc w:val="left"/>
              <w:rPr>
                <w:rFonts w:ascii="新宋体" w:eastAsia="新宋体" w:hAnsi="新宋体"/>
              </w:rPr>
            </w:pPr>
            <w:r>
              <w:rPr>
                <w:rFonts w:ascii="新宋体" w:eastAsia="新宋体" w:hAnsi="新宋体" w:hint="eastAsia"/>
              </w:rPr>
              <w:t>3.7 检测上限：不小于400ppb</w:t>
            </w:r>
          </w:p>
          <w:p w:rsidR="00726DDB" w:rsidRDefault="00726DDB" w:rsidP="008E677B">
            <w:pPr>
              <w:jc w:val="left"/>
              <w:rPr>
                <w:rFonts w:ascii="新宋体" w:eastAsia="新宋体" w:hAnsi="新宋体"/>
              </w:rPr>
            </w:pPr>
            <w:r>
              <w:rPr>
                <w:rFonts w:ascii="新宋体" w:eastAsia="新宋体" w:hAnsi="新宋体" w:hint="eastAsia"/>
              </w:rPr>
              <w:t>3.8检测下限：不低于0.5ppt</w:t>
            </w:r>
          </w:p>
          <w:p w:rsidR="00726DDB" w:rsidRDefault="00726DDB" w:rsidP="008E677B">
            <w:pPr>
              <w:jc w:val="left"/>
              <w:rPr>
                <w:rFonts w:ascii="新宋体" w:eastAsia="新宋体" w:hAnsi="新宋体"/>
              </w:rPr>
            </w:pPr>
            <w:r>
              <w:rPr>
                <w:rFonts w:ascii="新宋体" w:eastAsia="新宋体" w:hAnsi="新宋体" w:hint="eastAsia"/>
              </w:rPr>
              <w:t>3.9仪器采用非流动注射，每个样品均在独立的试管内进行氧化还原反应，避免产生样品间的交叉污染。</w:t>
            </w:r>
          </w:p>
          <w:p w:rsidR="00726DDB" w:rsidRDefault="00726DDB" w:rsidP="008E677B">
            <w:pPr>
              <w:jc w:val="left"/>
              <w:rPr>
                <w:rFonts w:ascii="新宋体" w:eastAsia="新宋体" w:hAnsi="新宋体"/>
              </w:rPr>
            </w:pPr>
            <w:r>
              <w:rPr>
                <w:rFonts w:ascii="新宋体" w:eastAsia="新宋体" w:hAnsi="新宋体" w:hint="eastAsia"/>
              </w:rPr>
              <w:t>3.10单个样品检测时间：3-5min</w:t>
            </w:r>
          </w:p>
          <w:p w:rsidR="00726DDB" w:rsidRDefault="00726DDB" w:rsidP="008E677B">
            <w:pPr>
              <w:jc w:val="left"/>
              <w:rPr>
                <w:rFonts w:ascii="新宋体" w:eastAsia="新宋体" w:hAnsi="新宋体"/>
              </w:rPr>
            </w:pPr>
            <w:r>
              <w:rPr>
                <w:rFonts w:ascii="新宋体" w:eastAsia="新宋体" w:hAnsi="新宋体" w:hint="eastAsia"/>
              </w:rPr>
              <w:t>3.11仪器带有高锰酸钾过量检测装置。</w:t>
            </w:r>
          </w:p>
          <w:p w:rsidR="00726DDB" w:rsidRDefault="00726DDB" w:rsidP="008E677B">
            <w:pPr>
              <w:jc w:val="left"/>
              <w:rPr>
                <w:rFonts w:ascii="新宋体" w:eastAsia="新宋体" w:hAnsi="新宋体"/>
              </w:rPr>
            </w:pPr>
            <w:r>
              <w:rPr>
                <w:rFonts w:ascii="新宋体" w:eastAsia="新宋体" w:hAnsi="新宋体" w:hint="eastAsia"/>
              </w:rPr>
              <w:t>3.12 软件系统可自行进行峰型判定，仪器自检，检验记录，浓度分析，统计分析等功能。</w:t>
            </w:r>
          </w:p>
          <w:p w:rsidR="00726DDB" w:rsidRDefault="00726DDB" w:rsidP="008E677B">
            <w:pPr>
              <w:tabs>
                <w:tab w:val="left" w:pos="6660"/>
              </w:tabs>
              <w:adjustRightInd w:val="0"/>
              <w:snapToGrid w:val="0"/>
              <w:spacing w:line="276" w:lineRule="auto"/>
              <w:rPr>
                <w:rFonts w:ascii="新宋体" w:eastAsia="新宋体" w:hAnsi="新宋体" w:cs="CESI宋体-GB13000"/>
                <w:spacing w:val="-2"/>
                <w:szCs w:val="21"/>
              </w:rPr>
            </w:pPr>
            <w:r>
              <w:rPr>
                <w:rFonts w:ascii="新宋体" w:eastAsia="新宋体" w:hAnsi="新宋体" w:cs="宋体" w:hint="eastAsia"/>
                <w:szCs w:val="21"/>
              </w:rPr>
              <w:t>*</w:t>
            </w:r>
            <w:r>
              <w:rPr>
                <w:rFonts w:ascii="新宋体" w:eastAsia="新宋体" w:hAnsi="新宋体" w:cs="CESI宋体-GB13000" w:hint="eastAsia"/>
                <w:spacing w:val="-2"/>
                <w:szCs w:val="21"/>
              </w:rPr>
              <w:t>3.13 冷原子测汞仪可与80位液体自动进样器、80位液体自动进样器（配备全自动</w:t>
            </w:r>
            <w:r>
              <w:rPr>
                <w:rFonts w:ascii="新宋体" w:eastAsia="新宋体" w:hAnsi="新宋体" w:cs="CESI宋体-GB13000" w:hint="eastAsia"/>
                <w:spacing w:val="-2"/>
                <w:szCs w:val="21"/>
              </w:rPr>
              <w:lastRenderedPageBreak/>
              <w:t>酸消解）或29位固体基质酸消解自动进样器一起使用。1台PC软件工作站控制多达3台自动进样器，每批最多可分析高达240个样品，提供多种可能的配置，以最适合的选择满足不同的应用需求。</w:t>
            </w:r>
          </w:p>
          <w:p w:rsidR="00726DDB" w:rsidRDefault="00726DDB" w:rsidP="008E677B">
            <w:pPr>
              <w:tabs>
                <w:tab w:val="left" w:pos="6660"/>
              </w:tabs>
              <w:adjustRightInd w:val="0"/>
              <w:snapToGrid w:val="0"/>
              <w:spacing w:line="276" w:lineRule="auto"/>
              <w:rPr>
                <w:rFonts w:ascii="新宋体" w:eastAsia="新宋体" w:hAnsi="新宋体" w:cs="CESI宋体-GB13000"/>
                <w:spacing w:val="-2"/>
                <w:szCs w:val="21"/>
              </w:rPr>
            </w:pPr>
            <w:r>
              <w:rPr>
                <w:rFonts w:ascii="新宋体" w:eastAsia="新宋体" w:hAnsi="新宋体" w:cs="宋体" w:hint="eastAsia"/>
                <w:szCs w:val="21"/>
              </w:rPr>
              <w:t>*</w:t>
            </w:r>
            <w:r>
              <w:rPr>
                <w:rFonts w:ascii="新宋体" w:eastAsia="新宋体" w:hAnsi="新宋体" w:cs="CESI宋体-GB13000" w:hint="eastAsia"/>
                <w:spacing w:val="-2"/>
                <w:szCs w:val="21"/>
              </w:rPr>
              <w:t>3.14离散式直接吹扫技术从每个样品管中提取并转移还原后的Hg到检测器中进行测量。只有汞蒸汽流过并接触到流路，样品间的记忆效应和超范围样品的交叉污染情况均被避免，无需担心汞记忆效应的影响。</w:t>
            </w:r>
          </w:p>
          <w:p w:rsidR="00726DDB" w:rsidRDefault="00726DDB" w:rsidP="008E677B">
            <w:pPr>
              <w:tabs>
                <w:tab w:val="left" w:pos="6660"/>
              </w:tabs>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3.15 配备安全的直立式1200mL废液罐可以安全地储存测量产生的所有酸性废液。使用可拆卸试剂架上设计为符合人体工程学的手柄，可安全地搬运试剂瓶。可将试剂架放置到更安全的位置进行试剂填充。</w:t>
            </w:r>
          </w:p>
          <w:p w:rsidR="00726DDB" w:rsidRDefault="00726DDB" w:rsidP="008E677B">
            <w:pPr>
              <w:tabs>
                <w:tab w:val="left" w:pos="6660"/>
              </w:tabs>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bCs/>
                <w:spacing w:val="-2"/>
                <w:szCs w:val="21"/>
              </w:rPr>
              <w:t>4.设备配置清单</w:t>
            </w:r>
          </w:p>
          <w:p w:rsidR="00726DDB" w:rsidRDefault="00726DDB" w:rsidP="008E677B">
            <w:pPr>
              <w:tabs>
                <w:tab w:val="left" w:pos="709"/>
              </w:tabs>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ORAMA-700主机一台， 80位自动进样器1套，自动消解系统1套，样品管 1000支，汞检测光源 1根。</w:t>
            </w:r>
          </w:p>
        </w:tc>
      </w:tr>
      <w:tr w:rsidR="00726DDB" w:rsidTr="008E677B">
        <w:trPr>
          <w:trHeight w:val="90"/>
          <w:jc w:val="center"/>
        </w:trPr>
        <w:tc>
          <w:tcPr>
            <w:tcW w:w="1993" w:type="dxa"/>
            <w:vAlign w:val="center"/>
          </w:tcPr>
          <w:p w:rsidR="00726DDB" w:rsidRDefault="00726DDB" w:rsidP="008E677B">
            <w:pPr>
              <w:widowControl/>
              <w:adjustRightInd w:val="0"/>
              <w:snapToGrid w:val="0"/>
              <w:spacing w:line="276" w:lineRule="auto"/>
              <w:jc w:val="center"/>
              <w:textAlignment w:val="center"/>
              <w:rPr>
                <w:rFonts w:ascii="新宋体" w:eastAsia="新宋体" w:hAnsi="新宋体" w:cs="CESI宋体-GB13000"/>
                <w:color w:val="000000"/>
                <w:szCs w:val="21"/>
              </w:rPr>
            </w:pPr>
            <w:r>
              <w:rPr>
                <w:rFonts w:ascii="新宋体" w:eastAsia="新宋体" w:hAnsi="新宋体" w:cs="东文宋体" w:hint="eastAsia"/>
                <w:szCs w:val="21"/>
              </w:rPr>
              <w:lastRenderedPageBreak/>
              <w:t>▲</w:t>
            </w:r>
            <w:r>
              <w:rPr>
                <w:rFonts w:ascii="新宋体" w:eastAsia="新宋体" w:hAnsi="新宋体" w:cs="CESI宋体-GB13000" w:hint="eastAsia"/>
                <w:szCs w:val="21"/>
              </w:rPr>
              <w:t>气相色谱仪</w:t>
            </w:r>
          </w:p>
        </w:tc>
        <w:tc>
          <w:tcPr>
            <w:tcW w:w="7720" w:type="dxa"/>
            <w:vAlign w:val="center"/>
          </w:tcPr>
          <w:p w:rsidR="00726DDB" w:rsidRDefault="00726DDB" w:rsidP="008E677B">
            <w:pPr>
              <w:adjustRightInd w:val="0"/>
              <w:snapToGrid w:val="0"/>
              <w:spacing w:line="276" w:lineRule="auto"/>
              <w:rPr>
                <w:rFonts w:ascii="新宋体" w:eastAsia="新宋体" w:hAnsi="新宋体" w:cs="CESI宋体-GB13000"/>
                <w:bCs/>
                <w:spacing w:val="-2"/>
                <w:szCs w:val="21"/>
              </w:rPr>
            </w:pPr>
            <w:r>
              <w:rPr>
                <w:rFonts w:ascii="新宋体" w:eastAsia="新宋体" w:hAnsi="新宋体" w:cs="CESI宋体-GB13000" w:hint="eastAsia"/>
                <w:bCs/>
                <w:spacing w:val="-2"/>
                <w:szCs w:val="21"/>
              </w:rPr>
              <w:t>1.总体要求</w:t>
            </w:r>
          </w:p>
          <w:p w:rsidR="00726DDB" w:rsidRDefault="00726DDB" w:rsidP="008E677B">
            <w:pPr>
              <w:widowControl/>
              <w:spacing w:line="276" w:lineRule="auto"/>
              <w:jc w:val="left"/>
              <w:rPr>
                <w:rFonts w:ascii="新宋体" w:eastAsia="新宋体" w:hAnsi="新宋体" w:cs="CESI宋体-GB13000"/>
                <w:spacing w:val="-2"/>
                <w:kern w:val="0"/>
                <w:szCs w:val="21"/>
              </w:rPr>
            </w:pPr>
            <w:r>
              <w:rPr>
                <w:rFonts w:ascii="新宋体" w:eastAsia="新宋体" w:hAnsi="新宋体" w:cs="CESI宋体-GB13000" w:hint="eastAsia"/>
                <w:spacing w:val="-2"/>
                <w:kern w:val="0"/>
                <w:szCs w:val="21"/>
              </w:rPr>
              <w:t>满足</w:t>
            </w:r>
            <w:r>
              <w:rPr>
                <w:rFonts w:ascii="新宋体" w:eastAsia="新宋体" w:hAnsi="新宋体" w:cs="CESI宋体-GB13000" w:hint="eastAsia"/>
                <w:spacing w:val="-2"/>
                <w:szCs w:val="21"/>
              </w:rPr>
              <w:t>《固定污染源废气 挥发性卤代烃的测定 气袋采样-气相色谱法》（HJ 1006-2018）</w:t>
            </w:r>
            <w:r>
              <w:rPr>
                <w:rFonts w:ascii="新宋体" w:eastAsia="新宋体" w:hAnsi="新宋体" w:cs="CESI宋体-GB13000" w:hint="eastAsia"/>
                <w:spacing w:val="-2"/>
                <w:kern w:val="0"/>
                <w:szCs w:val="21"/>
              </w:rPr>
              <w:t>中关于气相色谱仪的要求。</w:t>
            </w:r>
          </w:p>
          <w:p w:rsidR="00726DDB" w:rsidRDefault="00726DDB" w:rsidP="008E677B">
            <w:pPr>
              <w:adjustRightInd w:val="0"/>
              <w:snapToGrid w:val="0"/>
              <w:spacing w:line="276" w:lineRule="auto"/>
              <w:rPr>
                <w:rFonts w:ascii="新宋体" w:eastAsia="新宋体" w:hAnsi="新宋体" w:cs="CESI宋体-GB13000"/>
                <w:bCs/>
                <w:spacing w:val="-2"/>
                <w:szCs w:val="21"/>
              </w:rPr>
            </w:pPr>
            <w:r>
              <w:rPr>
                <w:rFonts w:ascii="新宋体" w:eastAsia="新宋体" w:hAnsi="新宋体" w:cs="CESI宋体-GB13000" w:hint="eastAsia"/>
                <w:bCs/>
                <w:spacing w:val="-2"/>
                <w:szCs w:val="21"/>
              </w:rPr>
              <w:t>2.仪器用途</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用于固定污染源废气中挥发性卤代烃的气袋采样-气相色谱法测定。</w:t>
            </w:r>
          </w:p>
          <w:p w:rsidR="00726DDB" w:rsidRDefault="00726DDB" w:rsidP="008E677B">
            <w:pPr>
              <w:adjustRightInd w:val="0"/>
              <w:snapToGrid w:val="0"/>
              <w:spacing w:line="276" w:lineRule="auto"/>
              <w:rPr>
                <w:rFonts w:ascii="新宋体" w:eastAsia="新宋体" w:hAnsi="新宋体" w:cs="CESI宋体-GB13000"/>
                <w:bCs/>
                <w:spacing w:val="-2"/>
                <w:szCs w:val="21"/>
              </w:rPr>
            </w:pPr>
            <w:r>
              <w:rPr>
                <w:rFonts w:ascii="新宋体" w:eastAsia="新宋体" w:hAnsi="新宋体" w:cs="CESI宋体-GB13000" w:hint="eastAsia"/>
                <w:bCs/>
                <w:spacing w:val="-2"/>
                <w:szCs w:val="21"/>
              </w:rPr>
              <w:t>3.技术性能指标</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3.1 柱箱</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温度范围：最高不低于450摄氏度，温度设置精度不大于0.1摄氏度</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温度稳定性：当环境温度变化 1摄氏度时，优于 0.1摄氏度</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柱温箱内部体积不小于13.8L</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3.2 惰性分流/不分流进样口</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流量控制：具有恒流、恒压等操作模式的电子气路控制</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快速扳转系统，更换衬管无需拆卸螺丝，方便易维护</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最高使用温度不低于400摄氏度</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压力设定范围：最大值≥100 psi</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宋体" w:hint="eastAsia"/>
                <w:szCs w:val="21"/>
              </w:rPr>
              <w:t>*</w:t>
            </w:r>
            <w:r>
              <w:rPr>
                <w:rFonts w:ascii="新宋体" w:eastAsia="新宋体" w:hAnsi="新宋体" w:cs="CESI宋体-GB13000" w:hint="eastAsia"/>
                <w:spacing w:val="-2"/>
                <w:szCs w:val="21"/>
              </w:rPr>
              <w:t>最大分流比≥12000:1</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3.3 电子捕获检测器（ECD）</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最低检测限：50 fg/mL（林丹）；</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最高操作温度：不低于400 ℃</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3.4 阀箱</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用于气体进样的气体进样阀，可以由气相软件完全控制</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可控温阀箱，保证流路温度一致性</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3.5 动态配气仪</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稀释倍数≥100倍</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支持标气稀释，也可对气袋、苏玛罐等容器气体稀释</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提供至少2路配气通道，支持不少于6种组份的气体</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具有自动排出废气功能</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3.6 操作工作站</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硬件： PC机，其配置不低于内存8G或以上；CPU I5或以上，硬盘1T或以上；正版Windows 10专业版系统 (64bit)，19”液晶显示器，激光打印机</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软件：Windows 10操作环境：色谱分析软件包（应包括本机运行控制软件；数据采集、分析、储存及定性定量分析）</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lastRenderedPageBreak/>
              <w:t>全中文的操作界面以及所有在线帮助</w:t>
            </w:r>
          </w:p>
          <w:p w:rsidR="00726DDB" w:rsidRDefault="00726DDB" w:rsidP="008E677B">
            <w:pPr>
              <w:adjustRightInd w:val="0"/>
              <w:snapToGrid w:val="0"/>
              <w:spacing w:line="276" w:lineRule="auto"/>
              <w:rPr>
                <w:rFonts w:ascii="新宋体" w:eastAsia="新宋体" w:hAnsi="新宋体" w:cs="CESI宋体-GB13000"/>
                <w:bCs/>
                <w:spacing w:val="-2"/>
                <w:szCs w:val="21"/>
              </w:rPr>
            </w:pPr>
            <w:r>
              <w:rPr>
                <w:rFonts w:ascii="新宋体" w:eastAsia="新宋体" w:hAnsi="新宋体" w:cs="CESI宋体-GB13000" w:hint="eastAsia"/>
                <w:bCs/>
                <w:spacing w:val="-2"/>
                <w:szCs w:val="21"/>
              </w:rPr>
              <w:t>4. 配置要求</w:t>
            </w:r>
          </w:p>
          <w:p w:rsidR="00726DDB" w:rsidRDefault="00726DDB" w:rsidP="008E677B">
            <w:pPr>
              <w:adjustRightInd w:val="0"/>
              <w:snapToGrid w:val="0"/>
              <w:spacing w:line="276" w:lineRule="auto"/>
              <w:rPr>
                <w:rFonts w:ascii="新宋体" w:eastAsia="新宋体" w:hAnsi="新宋体" w:cs="CESI宋体-GB13000"/>
                <w:szCs w:val="21"/>
              </w:rPr>
            </w:pPr>
            <w:r>
              <w:rPr>
                <w:rFonts w:ascii="新宋体" w:eastAsia="新宋体" w:hAnsi="新宋体" w:cs="CESI宋体-GB13000" w:hint="eastAsia"/>
                <w:spacing w:val="-2"/>
                <w:szCs w:val="21"/>
              </w:rPr>
              <w:t>气相色谱仪型号8890主机1台，操作工作站1套，惰性分流/不分流进样口1个，气体进样阀1套，控温阀箱1套，ECD检测器1个，对应色谱柱及常规耗材1批，动态配气仪1台，钢瓶标气1套等。</w:t>
            </w:r>
          </w:p>
        </w:tc>
      </w:tr>
      <w:tr w:rsidR="00726DDB" w:rsidTr="008E677B">
        <w:trPr>
          <w:trHeight w:val="90"/>
          <w:jc w:val="center"/>
        </w:trPr>
        <w:tc>
          <w:tcPr>
            <w:tcW w:w="1993" w:type="dxa"/>
            <w:vAlign w:val="center"/>
          </w:tcPr>
          <w:p w:rsidR="00726DDB" w:rsidRDefault="00726DDB" w:rsidP="008E677B">
            <w:pPr>
              <w:widowControl/>
              <w:adjustRightInd w:val="0"/>
              <w:snapToGrid w:val="0"/>
              <w:spacing w:line="276" w:lineRule="auto"/>
              <w:jc w:val="center"/>
              <w:textAlignment w:val="center"/>
              <w:rPr>
                <w:rFonts w:ascii="新宋体" w:eastAsia="新宋体" w:hAnsi="新宋体" w:cs="东文宋体"/>
                <w:szCs w:val="21"/>
              </w:rPr>
            </w:pPr>
            <w:r>
              <w:rPr>
                <w:rFonts w:ascii="新宋体" w:eastAsia="新宋体" w:hAnsi="新宋体" w:cs="CESI宋体-GB13000" w:hint="eastAsia"/>
                <w:szCs w:val="21"/>
              </w:rPr>
              <w:lastRenderedPageBreak/>
              <w:t>高压灭菌锅</w:t>
            </w:r>
          </w:p>
        </w:tc>
        <w:tc>
          <w:tcPr>
            <w:tcW w:w="7720" w:type="dxa"/>
            <w:vAlign w:val="center"/>
          </w:tcPr>
          <w:p w:rsidR="00726DDB" w:rsidRDefault="00726DDB" w:rsidP="008E677B">
            <w:pPr>
              <w:adjustRightInd w:val="0"/>
              <w:snapToGrid w:val="0"/>
              <w:spacing w:line="276" w:lineRule="auto"/>
              <w:rPr>
                <w:rFonts w:ascii="新宋体" w:eastAsia="新宋体" w:hAnsi="新宋体" w:cs="CESI宋体-GB13000"/>
                <w:bCs/>
                <w:spacing w:val="-2"/>
                <w:szCs w:val="21"/>
              </w:rPr>
            </w:pPr>
            <w:r>
              <w:rPr>
                <w:rFonts w:ascii="新宋体" w:eastAsia="新宋体" w:hAnsi="新宋体" w:cs="CESI宋体-GB13000" w:hint="eastAsia"/>
                <w:bCs/>
                <w:spacing w:val="-2"/>
                <w:szCs w:val="21"/>
              </w:rPr>
              <w:t>1.总体要求</w:t>
            </w:r>
          </w:p>
          <w:p w:rsidR="00726DDB" w:rsidRDefault="00726DDB" w:rsidP="008E677B">
            <w:pPr>
              <w:widowControl/>
              <w:spacing w:line="276" w:lineRule="auto"/>
              <w:jc w:val="left"/>
              <w:rPr>
                <w:rFonts w:ascii="新宋体" w:eastAsia="新宋体" w:hAnsi="新宋体" w:cs="CESI宋体-GB13000"/>
                <w:spacing w:val="-2"/>
                <w:kern w:val="0"/>
                <w:szCs w:val="21"/>
              </w:rPr>
            </w:pPr>
            <w:r>
              <w:rPr>
                <w:rFonts w:ascii="新宋体" w:eastAsia="新宋体" w:hAnsi="新宋体" w:cs="CESI宋体-GB13000" w:hint="eastAsia"/>
                <w:spacing w:val="-2"/>
                <w:szCs w:val="21"/>
              </w:rPr>
              <w:t>满足《水质 粪大肠菌群的测定 滤膜法》（HJ 347.1-2018）、《水质 粪大肠菌群的测定 多管发酵法》（HJ 347.2-2018）、《水质 总大肠菌群、粪大肠菌群和大肠埃希氏菌的测定 酶底物法》（HJ 1001-2018）等</w:t>
            </w:r>
            <w:r>
              <w:rPr>
                <w:rFonts w:ascii="新宋体" w:eastAsia="新宋体" w:hAnsi="新宋体" w:cs="CESI宋体-GB13000" w:hint="eastAsia"/>
                <w:spacing w:val="-2"/>
                <w:kern w:val="0"/>
                <w:szCs w:val="21"/>
              </w:rPr>
              <w:t>中关于器材和样品灭菌、温度调节的要求。</w:t>
            </w:r>
          </w:p>
          <w:p w:rsidR="00726DDB" w:rsidRDefault="00726DDB" w:rsidP="008E677B">
            <w:pPr>
              <w:adjustRightInd w:val="0"/>
              <w:snapToGrid w:val="0"/>
              <w:spacing w:line="276" w:lineRule="auto"/>
              <w:rPr>
                <w:rFonts w:ascii="新宋体" w:eastAsia="新宋体" w:hAnsi="新宋体" w:cs="CESI宋体-GB13000"/>
                <w:bCs/>
                <w:spacing w:val="-2"/>
                <w:szCs w:val="21"/>
              </w:rPr>
            </w:pPr>
            <w:r>
              <w:rPr>
                <w:rFonts w:ascii="新宋体" w:eastAsia="新宋体" w:hAnsi="新宋体" w:cs="CESI宋体-GB13000" w:hint="eastAsia"/>
                <w:bCs/>
                <w:spacing w:val="-2"/>
                <w:szCs w:val="21"/>
              </w:rPr>
              <w:t>2.仪器用途</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用于粪大肠菌群等监测分析中的器材和样品等灭菌。</w:t>
            </w:r>
          </w:p>
          <w:p w:rsidR="00726DDB" w:rsidRDefault="00726DDB" w:rsidP="008E677B">
            <w:pPr>
              <w:adjustRightInd w:val="0"/>
              <w:snapToGrid w:val="0"/>
              <w:spacing w:line="276" w:lineRule="auto"/>
              <w:rPr>
                <w:rFonts w:ascii="新宋体" w:eastAsia="新宋体" w:hAnsi="新宋体" w:cs="CESI宋体-GB13000"/>
                <w:bCs/>
                <w:spacing w:val="-2"/>
                <w:szCs w:val="21"/>
              </w:rPr>
            </w:pPr>
            <w:r>
              <w:rPr>
                <w:rFonts w:ascii="新宋体" w:eastAsia="新宋体" w:hAnsi="新宋体" w:cs="CESI宋体-GB13000" w:hint="eastAsia"/>
                <w:bCs/>
                <w:spacing w:val="-2"/>
                <w:szCs w:val="21"/>
              </w:rPr>
              <w:t>3.技术性能指标</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3.1技术参数要求：</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宋体" w:hint="eastAsia"/>
                <w:szCs w:val="21"/>
              </w:rPr>
              <w:t>*</w:t>
            </w:r>
            <w:r>
              <w:rPr>
                <w:rFonts w:ascii="新宋体" w:eastAsia="新宋体" w:hAnsi="新宋体" w:cs="CESI宋体-GB13000" w:hint="eastAsia"/>
                <w:spacing w:val="-2"/>
                <w:szCs w:val="21"/>
              </w:rPr>
              <w:t>温度显示、控制精度0.1℃；使用温度范围45～135℃；</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宋体" w:hint="eastAsia"/>
                <w:szCs w:val="21"/>
              </w:rPr>
              <w:t>*</w:t>
            </w:r>
            <w:r>
              <w:rPr>
                <w:rFonts w:ascii="新宋体" w:eastAsia="新宋体" w:hAnsi="新宋体" w:cs="CESI宋体-GB13000" w:hint="eastAsia"/>
                <w:spacing w:val="-2"/>
                <w:szCs w:val="21"/>
              </w:rPr>
              <w:t>最高使用压力0.26MPa，压力表、压力安全阀可方便拆卸；</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可定时0或者1分～99小时59分；</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罐内有效内径不小于370×H750mm</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罐体有效容积不小于80L</w:t>
            </w:r>
          </w:p>
          <w:p w:rsidR="00726DDB" w:rsidRDefault="00726DDB" w:rsidP="008E677B">
            <w:pPr>
              <w:adjustRightInd w:val="0"/>
              <w:snapToGrid w:val="0"/>
              <w:spacing w:line="276" w:lineRule="auto"/>
              <w:rPr>
                <w:rFonts w:ascii="新宋体" w:eastAsia="新宋体" w:hAnsi="新宋体" w:cs="CESI宋体-GB13000"/>
                <w:bCs/>
                <w:spacing w:val="-2"/>
                <w:szCs w:val="21"/>
              </w:rPr>
            </w:pPr>
            <w:r>
              <w:rPr>
                <w:rFonts w:ascii="新宋体" w:eastAsia="新宋体" w:hAnsi="新宋体" w:cs="CESI宋体-GB13000" w:hint="eastAsia"/>
                <w:bCs/>
                <w:spacing w:val="-2"/>
                <w:szCs w:val="21"/>
              </w:rPr>
              <w:t>3. 配置要求</w:t>
            </w:r>
          </w:p>
          <w:p w:rsidR="00726DDB" w:rsidRDefault="00726DDB" w:rsidP="008E677B">
            <w:pPr>
              <w:adjustRightInd w:val="0"/>
              <w:snapToGrid w:val="0"/>
              <w:spacing w:line="276" w:lineRule="auto"/>
              <w:rPr>
                <w:rFonts w:ascii="新宋体" w:eastAsia="新宋体" w:hAnsi="新宋体" w:cs="CESI宋体-GB13000"/>
                <w:spacing w:val="-2"/>
                <w:szCs w:val="21"/>
              </w:rPr>
            </w:pPr>
            <w:r>
              <w:rPr>
                <w:rFonts w:ascii="新宋体" w:eastAsia="新宋体" w:hAnsi="新宋体" w:cs="CESI宋体-GB13000" w:hint="eastAsia"/>
                <w:spacing w:val="-2"/>
                <w:szCs w:val="21"/>
              </w:rPr>
              <w:t>高压灭菌锅主体1个，灭菌框2个，蒸汽接收杯1个，排水箱1个，排水管1根，抱箍1个，灭菌效果测试卡30片。</w:t>
            </w:r>
          </w:p>
        </w:tc>
      </w:tr>
    </w:tbl>
    <w:p w:rsidR="00726DDB" w:rsidRDefault="00726DDB" w:rsidP="00726DDB">
      <w:pPr>
        <w:spacing w:line="276" w:lineRule="auto"/>
        <w:rPr>
          <w:rFonts w:ascii="新宋体" w:eastAsia="新宋体" w:hAnsi="新宋体" w:cs="宋体"/>
          <w:szCs w:val="21"/>
        </w:rPr>
      </w:pPr>
      <w:bookmarkStart w:id="0" w:name="_Toc310252887"/>
      <w:bookmarkEnd w:id="0"/>
      <w:r>
        <w:rPr>
          <w:rFonts w:ascii="新宋体" w:eastAsia="新宋体" w:hAnsi="新宋体" w:cs="宋体" w:hint="eastAsia"/>
          <w:szCs w:val="21"/>
        </w:rPr>
        <w:t>注：“*”条款为不可偏离项，供应商所投货物不满足的，</w:t>
      </w:r>
      <w:r>
        <w:rPr>
          <w:rFonts w:ascii="新宋体" w:eastAsia="新宋体" w:hAnsi="新宋体" w:hint="eastAsia"/>
          <w:szCs w:val="21"/>
        </w:rPr>
        <w:t>其报价</w:t>
      </w:r>
      <w:r>
        <w:rPr>
          <w:rFonts w:ascii="新宋体" w:eastAsia="新宋体" w:hAnsi="新宋体" w:cs="宋体" w:hint="eastAsia"/>
          <w:szCs w:val="21"/>
        </w:rPr>
        <w:t>无效。“</w:t>
      </w:r>
      <w:r>
        <w:rPr>
          <w:rFonts w:ascii="新宋体" w:eastAsia="新宋体" w:hAnsi="新宋体" w:cs="东文宋体" w:hint="eastAsia"/>
          <w:szCs w:val="21"/>
        </w:rPr>
        <w:t>▲</w:t>
      </w:r>
      <w:r>
        <w:rPr>
          <w:rFonts w:ascii="新宋体" w:eastAsia="新宋体" w:hAnsi="新宋体" w:cs="宋体" w:hint="eastAsia"/>
          <w:szCs w:val="21"/>
        </w:rPr>
        <w:t>”为主要设备（核心设备）。</w:t>
      </w:r>
    </w:p>
    <w:p w:rsidR="00726DDB" w:rsidRDefault="00726DDB" w:rsidP="00726DDB">
      <w:pPr>
        <w:spacing w:line="276" w:lineRule="auto"/>
        <w:rPr>
          <w:rFonts w:ascii="新宋体" w:eastAsia="新宋体" w:hAnsi="新宋体" w:cs="宋体"/>
          <w:szCs w:val="21"/>
        </w:rPr>
      </w:pPr>
    </w:p>
    <w:p w:rsidR="00726DDB" w:rsidRDefault="00726DDB" w:rsidP="00726DDB">
      <w:pPr>
        <w:spacing w:line="360" w:lineRule="auto"/>
        <w:rPr>
          <w:b/>
        </w:rPr>
      </w:pPr>
      <w:r>
        <w:rPr>
          <w:b/>
        </w:rPr>
        <w:t>（三）</w:t>
      </w:r>
      <w:r>
        <w:rPr>
          <w:rFonts w:hint="eastAsia"/>
          <w:b/>
        </w:rPr>
        <w:t>交货时间及地点</w:t>
      </w:r>
    </w:p>
    <w:p w:rsidR="00726DDB" w:rsidRDefault="00726DDB" w:rsidP="00726DDB">
      <w:pPr>
        <w:adjustRightInd w:val="0"/>
        <w:snapToGrid w:val="0"/>
        <w:spacing w:line="360" w:lineRule="auto"/>
        <w:rPr>
          <w:rFonts w:ascii="新宋体" w:eastAsia="新宋体" w:hAnsi="新宋体" w:cs="CESI宋体-GB13000"/>
          <w:spacing w:val="-2"/>
          <w:szCs w:val="21"/>
        </w:rPr>
      </w:pPr>
      <w:r>
        <w:rPr>
          <w:rFonts w:ascii="新宋体" w:eastAsia="新宋体" w:hAnsi="新宋体" w:cs="CESI宋体-GB13000" w:hint="eastAsia"/>
          <w:spacing w:val="-2"/>
          <w:szCs w:val="21"/>
        </w:rPr>
        <w:t>1.*交货时间：自合同签订之日起</w:t>
      </w:r>
      <w:r>
        <w:rPr>
          <w:rFonts w:ascii="新宋体" w:eastAsia="新宋体" w:hAnsi="新宋体" w:cs="CESI宋体-GB13000" w:hint="eastAsia"/>
          <w:spacing w:val="-2"/>
          <w:szCs w:val="21"/>
          <w:lang w:val="en"/>
        </w:rPr>
        <w:t>3</w:t>
      </w:r>
      <w:r>
        <w:rPr>
          <w:rFonts w:ascii="新宋体" w:eastAsia="新宋体" w:hAnsi="新宋体" w:cs="CESI宋体-GB13000" w:hint="eastAsia"/>
          <w:spacing w:val="-2"/>
          <w:szCs w:val="21"/>
        </w:rPr>
        <w:t>0个自然日内交货。因客观原因或不可抗力原因造成不能按时交货的，成交供应商应在客观原因或不可抗力原因发生之日起3日内，提交延期交货书面申请及相关证明材料，经采购人同意后方可顺延。</w:t>
      </w:r>
    </w:p>
    <w:p w:rsidR="00726DDB" w:rsidRDefault="00726DDB" w:rsidP="00726DDB">
      <w:pPr>
        <w:adjustRightInd w:val="0"/>
        <w:snapToGrid w:val="0"/>
        <w:spacing w:line="360" w:lineRule="auto"/>
        <w:rPr>
          <w:rFonts w:ascii="新宋体" w:eastAsia="新宋体" w:hAnsi="新宋体" w:cs="CESI宋体-GB13000"/>
          <w:spacing w:val="-2"/>
          <w:szCs w:val="21"/>
        </w:rPr>
      </w:pPr>
      <w:r>
        <w:rPr>
          <w:rFonts w:ascii="新宋体" w:eastAsia="新宋体" w:hAnsi="新宋体" w:cs="CESI宋体-GB13000" w:hint="eastAsia"/>
          <w:spacing w:val="-2"/>
          <w:szCs w:val="21"/>
        </w:rPr>
        <w:t>2.交货地点：深圳市龙岗区白灰围一路1号深圳市生态环境监测站龙岗分站。</w:t>
      </w:r>
    </w:p>
    <w:p w:rsidR="00726DDB" w:rsidRDefault="00726DDB" w:rsidP="00726DDB">
      <w:pPr>
        <w:spacing w:line="360" w:lineRule="auto"/>
        <w:rPr>
          <w:b/>
        </w:rPr>
      </w:pPr>
      <w:r>
        <w:rPr>
          <w:rFonts w:hint="eastAsia"/>
          <w:b/>
        </w:rPr>
        <w:t>（四）</w:t>
      </w:r>
      <w:r>
        <w:rPr>
          <w:rFonts w:hint="eastAsia"/>
          <w:b/>
        </w:rPr>
        <w:t>*</w:t>
      </w:r>
      <w:r>
        <w:rPr>
          <w:rFonts w:hint="eastAsia"/>
          <w:b/>
        </w:rPr>
        <w:t>报价要求</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人民币报价，价格包括本项目所发生的一切费用，包括但不限于仪器设备的价款、税费、包装、运输、装卸、安装、调试、技术指导、培训、咨询、服务、保险、检测、验收合格交付使用之前以及技术和售后服务、质保期退运返修等其他所有费用。报价系固定不变价格，且不随通货膨胀的影响而波动。</w:t>
      </w:r>
    </w:p>
    <w:p w:rsidR="00726DDB" w:rsidRDefault="00726DDB" w:rsidP="00726DDB">
      <w:pPr>
        <w:spacing w:line="360" w:lineRule="auto"/>
        <w:rPr>
          <w:b/>
        </w:rPr>
      </w:pPr>
      <w:r>
        <w:rPr>
          <w:rFonts w:hint="eastAsia"/>
          <w:b/>
        </w:rPr>
        <w:t>（五）</w:t>
      </w:r>
      <w:r>
        <w:rPr>
          <w:rFonts w:hint="eastAsia"/>
          <w:b/>
        </w:rPr>
        <w:t>*</w:t>
      </w:r>
      <w:r>
        <w:rPr>
          <w:rFonts w:hint="eastAsia"/>
          <w:b/>
        </w:rPr>
        <w:t>付款方式</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1.合同签订后，采购人在收到合法发票15日内预付合同总额的6</w:t>
      </w:r>
      <w:r>
        <w:rPr>
          <w:rFonts w:ascii="新宋体" w:eastAsia="新宋体" w:hAnsi="新宋体" w:cs="CESI宋体-GB13000" w:hint="eastAsia"/>
          <w:spacing w:val="-2"/>
          <w:szCs w:val="21"/>
          <w:lang w:val="en"/>
        </w:rPr>
        <w:t>0</w:t>
      </w:r>
      <w:r>
        <w:rPr>
          <w:rFonts w:ascii="新宋体" w:eastAsia="新宋体" w:hAnsi="新宋体" w:cs="CESI宋体-GB13000" w:hint="eastAsia"/>
          <w:spacing w:val="-2"/>
          <w:szCs w:val="21"/>
        </w:rPr>
        <w:t>%的首付款。</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2.货物清单仪器设备全部送至采购人指定场所并完成安装、调试、培训、试运行，经采购人验收合格后，在收到合法发票15日内支付合同总额4</w:t>
      </w:r>
      <w:r>
        <w:rPr>
          <w:rFonts w:ascii="新宋体" w:eastAsia="新宋体" w:hAnsi="新宋体" w:cs="CESI宋体-GB13000" w:hint="eastAsia"/>
          <w:spacing w:val="-2"/>
          <w:szCs w:val="21"/>
          <w:lang w:val="en"/>
        </w:rPr>
        <w:t>0</w:t>
      </w:r>
      <w:r>
        <w:rPr>
          <w:rFonts w:ascii="新宋体" w:eastAsia="新宋体" w:hAnsi="新宋体" w:cs="CESI宋体-GB13000" w:hint="eastAsia"/>
          <w:spacing w:val="-2"/>
          <w:szCs w:val="21"/>
        </w:rPr>
        <w:t>%的尾款。</w:t>
      </w:r>
    </w:p>
    <w:p w:rsidR="00726DDB" w:rsidRDefault="00726DDB" w:rsidP="00726DDB">
      <w:pPr>
        <w:spacing w:line="360" w:lineRule="auto"/>
        <w:rPr>
          <w:b/>
          <w:sz w:val="28"/>
          <w:szCs w:val="28"/>
        </w:rPr>
      </w:pPr>
      <w:r>
        <w:rPr>
          <w:rFonts w:hint="eastAsia"/>
          <w:b/>
        </w:rPr>
        <w:lastRenderedPageBreak/>
        <w:t>（六）运输及包装要求</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设备的包装、运输由成交供应商负责。应使用崭新坚固的包装，适合于空运、或陆运等长途运输方式；适合气候变化；由于不当包装或防护措施不利而导致的商品损坏、损失、费用增长等后果由成交供应商负全责。</w:t>
      </w:r>
    </w:p>
    <w:p w:rsidR="00726DDB" w:rsidRDefault="00726DDB" w:rsidP="00726DDB">
      <w:pPr>
        <w:spacing w:line="360" w:lineRule="auto"/>
        <w:rPr>
          <w:b/>
        </w:rPr>
      </w:pPr>
      <w:r>
        <w:rPr>
          <w:rFonts w:hint="eastAsia"/>
          <w:b/>
        </w:rPr>
        <w:t>（七）交货、安装及调试要求</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*1.成交供应商在设备交货前5个工作日内须向采购人提供本项目核心设备</w:t>
      </w:r>
      <w:r>
        <w:rPr>
          <w:rFonts w:ascii="新宋体" w:eastAsia="新宋体" w:hAnsi="新宋体" w:cs="CESI宋体-GB13000"/>
          <w:spacing w:val="-2"/>
          <w:szCs w:val="21"/>
          <w:lang w:val="en"/>
        </w:rPr>
        <w:t>(</w:t>
      </w:r>
      <w:r>
        <w:rPr>
          <w:rFonts w:ascii="新宋体" w:eastAsia="新宋体" w:hAnsi="新宋体" w:cs="CESI宋体-GB13000" w:hint="eastAsia"/>
          <w:spacing w:val="-2"/>
          <w:szCs w:val="21"/>
        </w:rPr>
        <w:t>冷原子吸收测汞仪、气相色谱仪</w:t>
      </w:r>
      <w:r>
        <w:rPr>
          <w:rFonts w:ascii="新宋体" w:eastAsia="新宋体" w:hAnsi="新宋体" w:cs="CESI宋体-GB13000"/>
          <w:spacing w:val="-2"/>
          <w:szCs w:val="21"/>
          <w:lang w:val="en"/>
        </w:rPr>
        <w:t>)</w:t>
      </w:r>
      <w:r>
        <w:rPr>
          <w:rFonts w:ascii="新宋体" w:eastAsia="新宋体" w:hAnsi="新宋体" w:cs="CESI宋体-GB13000" w:hint="eastAsia"/>
          <w:spacing w:val="-2"/>
          <w:szCs w:val="21"/>
        </w:rPr>
        <w:t>生产厂家针对本项目出具的售后服务承诺函或授权书，并经采购人认可。如不能提供，采购人有权拒收货物，解除合同，成交供应商退回所有已经支付的款项，由此产生的违约责任由其承担。</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2.成交供应商应按照约定或竞价文件规定的时间和方式交付货物时，交货地点由采购人指定。</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3.成交供应商交付的货物应当完全符合竟价文件所规定的品牌、型号、数量、技术规格要求，并提供相关认证。成交供应商提供的货物不符合竞价文件规定的，采购人有权拒收货物，解除合同，成交供应商退回所有已经支付的款项，由此产生的违约责任由成交供应商承担。</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4.成交供应商应将所提供货物的使用说明书、原厂保修卡等附随配件、工具等交付给采购人；成交供应商不能完整交付货物及相关单证或工具的，视为未按约定交货，成交供应商负责补齐，因此导致逾期交付的，由其承担相关的违约责任。</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5.成交供应商必须按照竟价文件要求和报价文件的承诺，将仪器设备安装并调试至正常运行的最佳状态。</w:t>
      </w:r>
    </w:p>
    <w:p w:rsidR="00726DDB" w:rsidRDefault="00726DDB" w:rsidP="00726DDB">
      <w:pPr>
        <w:adjustRightInd w:val="0"/>
        <w:snapToGrid w:val="0"/>
        <w:spacing w:line="360" w:lineRule="auto"/>
        <w:ind w:firstLineChars="200" w:firstLine="412"/>
        <w:jc w:val="left"/>
        <w:rPr>
          <w:sz w:val="28"/>
          <w:szCs w:val="28"/>
        </w:rPr>
      </w:pPr>
      <w:r>
        <w:rPr>
          <w:rFonts w:ascii="新宋体" w:eastAsia="新宋体" w:hAnsi="新宋体" w:cs="CESI宋体-GB13000" w:hint="eastAsia"/>
          <w:spacing w:val="-2"/>
          <w:szCs w:val="21"/>
        </w:rPr>
        <w:t>6.成交供应商必须按照相关要求和承诺，安排仪器厂家或经厂家授权的专业技术人员到现场将仪器设备安装、调试、演示、测试至正常运行的最佳状态后交付使用。采购设备应进行计量检定或校准后才可正常使用的仪器设备，由成交供应商负责在到货开箱后，或经采购人同意在到货开箱之前，委托有资质的计量检定校准机构出具计量检定证书或校准报告，检定合格或校准参数须满足需求</w:t>
      </w:r>
      <w:r>
        <w:rPr>
          <w:rFonts w:hint="eastAsia"/>
          <w:sz w:val="28"/>
          <w:szCs w:val="28"/>
        </w:rPr>
        <w:t>。</w:t>
      </w:r>
    </w:p>
    <w:p w:rsidR="00726DDB" w:rsidRDefault="00726DDB" w:rsidP="00726DDB">
      <w:pPr>
        <w:spacing w:line="360" w:lineRule="auto"/>
        <w:rPr>
          <w:b/>
        </w:rPr>
      </w:pPr>
      <w:r>
        <w:rPr>
          <w:rFonts w:hint="eastAsia"/>
          <w:b/>
        </w:rPr>
        <w:t>（八）培训要求</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1.为保证成交供应商所提供的仪器设备安全、可靠运行，便于采购人的运行维护，必须对采购人培训合格的维护和管理人员。</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2.成交供应商负责对采购人提供免费现场技术培训，培训人数不限，培训地点由采购人指定；培训直至采购人能完全独立操作。</w:t>
      </w:r>
    </w:p>
    <w:p w:rsidR="00726DDB" w:rsidRDefault="00726DDB" w:rsidP="00726DDB">
      <w:pPr>
        <w:spacing w:line="360" w:lineRule="auto"/>
        <w:rPr>
          <w:b/>
        </w:rPr>
      </w:pPr>
      <w:r>
        <w:rPr>
          <w:rFonts w:hint="eastAsia"/>
          <w:b/>
        </w:rPr>
        <w:t>（九）</w:t>
      </w:r>
      <w:r>
        <w:rPr>
          <w:rFonts w:hint="eastAsia"/>
          <w:b/>
        </w:rPr>
        <w:t>*</w:t>
      </w:r>
      <w:r>
        <w:rPr>
          <w:rFonts w:hint="eastAsia"/>
          <w:b/>
        </w:rPr>
        <w:t>验收要求</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1.需要进行计量检定或校准的货物，由成交供应商负责委托具有计量检定资质的单位出具首次计量检定证书或校准报告，检定合格或校准参数满足采购人需求，方可进行技术验收。</w:t>
      </w:r>
      <w:r>
        <w:rPr>
          <w:rFonts w:ascii="新宋体" w:eastAsia="新宋体" w:hAnsi="新宋体" w:cs="CESI宋体-GB13000" w:hint="eastAsia"/>
          <w:spacing w:val="-2"/>
          <w:szCs w:val="21"/>
        </w:rPr>
        <w:lastRenderedPageBreak/>
        <w:t>不需计量检定或校准的货物，采购人进行外观和功能性验收。</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2.采购人应当在货物到齐后15个工作日内对货物进行包装、外观、型号、配件等检查，确认无误后签署到货单。成交供应商完成货物安装、调试、检定校准、培训等必要程序，经采购人验收无误后签署最终验收报告，正式交付使用。</w:t>
      </w:r>
    </w:p>
    <w:p w:rsidR="00726DDB" w:rsidRDefault="00726DDB" w:rsidP="00726DDB">
      <w:pPr>
        <w:spacing w:line="360" w:lineRule="auto"/>
        <w:rPr>
          <w:b/>
        </w:rPr>
      </w:pPr>
      <w:r>
        <w:rPr>
          <w:rFonts w:hint="eastAsia"/>
          <w:b/>
        </w:rPr>
        <w:t>（十）</w:t>
      </w:r>
      <w:r>
        <w:rPr>
          <w:rFonts w:hint="eastAsia"/>
          <w:b/>
        </w:rPr>
        <w:t>*</w:t>
      </w:r>
      <w:r>
        <w:rPr>
          <w:rFonts w:hint="eastAsia"/>
          <w:b/>
        </w:rPr>
        <w:t>售后服务要求</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1.售后服务期自最终验收合格并交付使用之日起计，货物免费保修期1年。保修期内提供免费整机维修保养，包含所有仪器、配件、部件等。一旦发生质量问题，成交供应商需在接到通知24小时内进行处理。保修期过后，成交供应商终生提供及时的维修、维护、定期回访，解决设备运行当中可能出现的疑问，排除潜在故障，使设备保持良好工作状态。</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2.供应商应在竞价文件中提交具体的售后服务方案，包括售后服务内容、要求和质保期限等。</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3.供应商应在竞价文件中提供需求清单所有仪器设备的相关承诺材料，如宣传彩页、使用说明书关键页、参数确认函或计量检测报告等，加盖投标人公章。</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4.成交供应商应按照国家有关法律法规规章和“三包”规定和竞价文件的要求及投标文件的相关承诺提供保修及其他服务。</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5.保修期内，成交供应商负责对其提供的货物进行维修和系统维护，不再收取任何费用。所有货物保修服务方式均为成交供应商上门保修，即由成交供应商派员到货物使用现场维修，由此产生的一切费用均由成交供应商承担。</w:t>
      </w:r>
    </w:p>
    <w:p w:rsidR="00726DDB" w:rsidRDefault="00726DDB" w:rsidP="00726DDB">
      <w:pPr>
        <w:spacing w:line="360" w:lineRule="auto"/>
        <w:rPr>
          <w:b/>
          <w:sz w:val="28"/>
          <w:szCs w:val="28"/>
        </w:rPr>
      </w:pPr>
      <w:r>
        <w:rPr>
          <w:rFonts w:hint="eastAsia"/>
          <w:b/>
        </w:rPr>
        <w:t>（十一）质量及知识产权要求</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1.成交供应商提供完好、全新的原包装产品（包括零配件），随机技术资料齐全。产品符合国家质量检测标准，必须具有生产日期、厂名、厂址、产品合格证等。进口产品须提供海关进货单（复印件备查）。</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2.采购人在中国使用该货物或货物的任何一部分时，免受第三方提出的侵犯其专利权、商标权或工业设计权等知识产权的起诉或司法干预。如果发生上述起诉或干预，则其法律责任均由成交供应商负责。</w:t>
      </w:r>
      <w:bookmarkStart w:id="1" w:name="_Toc244261292"/>
      <w:bookmarkStart w:id="2" w:name="_Toc405557250"/>
      <w:bookmarkStart w:id="3" w:name="_Toc307924183"/>
      <w:bookmarkStart w:id="4" w:name="_Toc244261294"/>
      <w:bookmarkStart w:id="5" w:name="_Toc244261289"/>
      <w:bookmarkStart w:id="6" w:name="_Toc307924185"/>
      <w:bookmarkStart w:id="7" w:name="_Toc405557249"/>
      <w:bookmarkStart w:id="8" w:name="_Toc204592966"/>
      <w:bookmarkStart w:id="9" w:name="_Toc244261291"/>
      <w:bookmarkStart w:id="10" w:name="_Toc244261293"/>
      <w:bookmarkStart w:id="11" w:name="_Toc204592962"/>
      <w:bookmarkStart w:id="12" w:name="_Toc405557251"/>
      <w:bookmarkStart w:id="13" w:name="_Toc307924184"/>
      <w:bookmarkStart w:id="14" w:name="_Toc405557248"/>
      <w:bookmarkStart w:id="15" w:name="_Toc307924181"/>
      <w:bookmarkStart w:id="16" w:name="_Toc204592970"/>
      <w:bookmarkStart w:id="17" w:name="_Toc204592968"/>
      <w:bookmarkStart w:id="18" w:name="_Toc4055572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726DDB" w:rsidRDefault="00726DDB" w:rsidP="00726DDB">
      <w:pPr>
        <w:spacing w:line="360" w:lineRule="auto"/>
        <w:rPr>
          <w:b/>
        </w:rPr>
      </w:pPr>
      <w:r>
        <w:rPr>
          <w:rFonts w:hint="eastAsia"/>
          <w:b/>
        </w:rPr>
        <w:t>（十二）</w:t>
      </w:r>
      <w:r>
        <w:rPr>
          <w:rFonts w:hint="eastAsia"/>
          <w:b/>
        </w:rPr>
        <w:t xml:space="preserve"> </w:t>
      </w:r>
      <w:r>
        <w:rPr>
          <w:rFonts w:hint="eastAsia"/>
          <w:b/>
        </w:rPr>
        <w:t>风险责任</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1.成交供应商应完全按照本招标文件的要求和采购人竞价文件的承诺完成本项目，出于自身财务、技术、人力等原因导致项目失败的，应承担全部责任。</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2.成交供应商在实施项目过程中应对自身的安全生产负责，若由成交供应商原因发生的各种事故采购人不承担任何责任。</w:t>
      </w:r>
    </w:p>
    <w:p w:rsidR="00726DDB" w:rsidRDefault="00726DDB" w:rsidP="00726DDB">
      <w:pPr>
        <w:spacing w:line="360" w:lineRule="auto"/>
        <w:rPr>
          <w:b/>
          <w:sz w:val="28"/>
          <w:szCs w:val="28"/>
        </w:rPr>
      </w:pPr>
      <w:r>
        <w:rPr>
          <w:rFonts w:hint="eastAsia"/>
          <w:b/>
        </w:rPr>
        <w:t>（十三）违约责任</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1.因成交供应商原因，未能按规定时间完成有关工作，每延误一天，采购人可在支付合同余款中扣除合同价款千分之一；延误超过15天，采购人可有权解除合同，成交供应商应向</w:t>
      </w:r>
      <w:r>
        <w:rPr>
          <w:rFonts w:ascii="新宋体" w:eastAsia="新宋体" w:hAnsi="新宋体" w:cs="CESI宋体-GB13000" w:hint="eastAsia"/>
          <w:spacing w:val="-2"/>
          <w:szCs w:val="21"/>
        </w:rPr>
        <w:lastRenderedPageBreak/>
        <w:t>采购人支付采购合同总价款20%的违约金，并赔偿由此造成采购人遭受的一切损失；</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2.如成交供应商违反保密义务或提供的项目服务或项目成果侵犯第三方知识产权的，采购人有权解除合同，成交供应商应向采购人支付合同总价30%的违约金，并赔偿由此给采购人造成的一切损失。</w:t>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3</w:t>
      </w:r>
      <w:r>
        <w:rPr>
          <w:rFonts w:ascii="新宋体" w:eastAsia="新宋体" w:hAnsi="新宋体" w:cs="CESI宋体-GB13000" w:hint="eastAsia"/>
          <w:spacing w:val="-2"/>
          <w:szCs w:val="21"/>
          <w:lang w:val="en"/>
        </w:rPr>
        <w:t>.</w:t>
      </w:r>
      <w:r>
        <w:rPr>
          <w:rFonts w:ascii="新宋体" w:eastAsia="新宋体" w:hAnsi="新宋体" w:cs="CESI宋体-GB13000" w:hint="eastAsia"/>
          <w:spacing w:val="-2"/>
          <w:szCs w:val="21"/>
        </w:rPr>
        <w:t>未经采购人同意，成交供应商不得将项目转包或分包给其他第三方。如若违反，采购人有权解除合同，成交供应商应向采购人支付采购合同总价款20%的违约金，并赔偿由此给采购人造成的一切损失。</w:t>
      </w:r>
    </w:p>
    <w:p w:rsidR="00726DDB" w:rsidRDefault="00726DDB" w:rsidP="00726DDB">
      <w:pPr>
        <w:spacing w:line="360" w:lineRule="auto"/>
        <w:rPr>
          <w:b/>
          <w:sz w:val="28"/>
          <w:szCs w:val="28"/>
        </w:rPr>
      </w:pPr>
      <w:r>
        <w:rPr>
          <w:rFonts w:hint="eastAsia"/>
          <w:b/>
        </w:rPr>
        <w:t>（十四）合同解除和终止</w:t>
      </w:r>
      <w:r>
        <w:rPr>
          <w:rFonts w:hint="eastAsia"/>
          <w:b/>
        </w:rPr>
        <w:tab/>
      </w:r>
    </w:p>
    <w:p w:rsidR="00726DDB" w:rsidRDefault="00726DDB" w:rsidP="00726DDB">
      <w:pPr>
        <w:adjustRightInd w:val="0"/>
        <w:snapToGrid w:val="0"/>
        <w:spacing w:line="360" w:lineRule="auto"/>
        <w:ind w:firstLineChars="200" w:firstLine="412"/>
        <w:jc w:val="left"/>
        <w:rPr>
          <w:rFonts w:ascii="新宋体" w:eastAsia="新宋体" w:hAnsi="新宋体" w:cs="CESI宋体-GB13000"/>
          <w:spacing w:val="-2"/>
          <w:szCs w:val="21"/>
        </w:rPr>
      </w:pPr>
      <w:r>
        <w:rPr>
          <w:rFonts w:ascii="新宋体" w:eastAsia="新宋体" w:hAnsi="新宋体" w:cs="CESI宋体-GB13000" w:hint="eastAsia"/>
          <w:spacing w:val="-2"/>
          <w:szCs w:val="21"/>
        </w:rPr>
        <w:t>成交供应商存在第十四条第1款的违约情形时，采购人可向成交供应商发出书面的违约通知书，提出解除或终止部分或全部合同。在项目履行过程中发生特殊情况导致采购需求发生变化时，采购人可根据实际情况变更或终止合同，并通过签订补充协议予以确定，并合同价款据实结算。</w:t>
      </w:r>
    </w:p>
    <w:p w:rsidR="0042624E" w:rsidRPr="00726DDB" w:rsidRDefault="0042624E">
      <w:bookmarkStart w:id="19" w:name="_GoBack"/>
      <w:bookmarkEnd w:id="19"/>
    </w:p>
    <w:sectPr w:rsidR="0042624E" w:rsidRPr="00726D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DDB" w:rsidRDefault="00726DDB" w:rsidP="00726DDB">
      <w:r>
        <w:separator/>
      </w:r>
    </w:p>
  </w:endnote>
  <w:endnote w:type="continuationSeparator" w:id="0">
    <w:p w:rsidR="00726DDB" w:rsidRDefault="00726DDB" w:rsidP="0072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SI宋体-GB13000">
    <w:altName w:val="宋体"/>
    <w:charset w:val="86"/>
    <w:family w:val="auto"/>
    <w:pitch w:val="default"/>
    <w:sig w:usb0="00000000" w:usb1="00000000" w:usb2="00000016" w:usb3="00000000" w:csb0="0004000F" w:csb1="00000000"/>
  </w:font>
  <w:font w:name="东文宋体">
    <w:altName w:val="宋体"/>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DDB" w:rsidRDefault="00726DDB" w:rsidP="00726DDB">
      <w:r>
        <w:separator/>
      </w:r>
    </w:p>
  </w:footnote>
  <w:footnote w:type="continuationSeparator" w:id="0">
    <w:p w:rsidR="00726DDB" w:rsidRDefault="00726DDB" w:rsidP="00726D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2044E5"/>
    <w:multiLevelType w:val="multilevel"/>
    <w:tmpl w:val="442044E5"/>
    <w:lvl w:ilvl="0">
      <w:start w:val="1"/>
      <w:numFmt w:val="japaneseCounting"/>
      <w:lvlText w:val="第%1章"/>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463"/>
    <w:rsid w:val="0042624E"/>
    <w:rsid w:val="00726DDB"/>
    <w:rsid w:val="00DA6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Body Text" w:uiPriority="0"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qFormat/>
    <w:rsid w:val="00726DD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6D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6DDB"/>
    <w:rPr>
      <w:sz w:val="18"/>
      <w:szCs w:val="18"/>
    </w:rPr>
  </w:style>
  <w:style w:type="paragraph" w:styleId="a4">
    <w:name w:val="footer"/>
    <w:basedOn w:val="a"/>
    <w:link w:val="Char0"/>
    <w:uiPriority w:val="99"/>
    <w:unhideWhenUsed/>
    <w:rsid w:val="00726DDB"/>
    <w:pPr>
      <w:tabs>
        <w:tab w:val="center" w:pos="4153"/>
        <w:tab w:val="right" w:pos="8306"/>
      </w:tabs>
      <w:snapToGrid w:val="0"/>
      <w:jc w:val="left"/>
    </w:pPr>
    <w:rPr>
      <w:sz w:val="18"/>
      <w:szCs w:val="18"/>
    </w:rPr>
  </w:style>
  <w:style w:type="character" w:customStyle="1" w:styleId="Char0">
    <w:name w:val="页脚 Char"/>
    <w:basedOn w:val="a0"/>
    <w:link w:val="a4"/>
    <w:uiPriority w:val="99"/>
    <w:rsid w:val="00726DDB"/>
    <w:rPr>
      <w:sz w:val="18"/>
      <w:szCs w:val="18"/>
    </w:rPr>
  </w:style>
  <w:style w:type="paragraph" w:styleId="a5">
    <w:name w:val="Body Text"/>
    <w:basedOn w:val="a"/>
    <w:next w:val="a"/>
    <w:link w:val="Char2"/>
    <w:qFormat/>
    <w:rsid w:val="00726DDB"/>
    <w:pPr>
      <w:spacing w:after="120"/>
    </w:pPr>
    <w:rPr>
      <w:rFonts w:ascii="新宋体" w:eastAsia="新宋体" w:hAnsi="新宋体"/>
    </w:rPr>
  </w:style>
  <w:style w:type="character" w:customStyle="1" w:styleId="Char1">
    <w:name w:val="正文文本 Char"/>
    <w:basedOn w:val="a0"/>
    <w:uiPriority w:val="99"/>
    <w:semiHidden/>
    <w:rsid w:val="00726DDB"/>
    <w:rPr>
      <w:rFonts w:ascii="Times New Roman" w:eastAsia="宋体" w:hAnsi="Times New Roman" w:cs="Times New Roman"/>
      <w:szCs w:val="20"/>
    </w:rPr>
  </w:style>
  <w:style w:type="paragraph" w:styleId="a6">
    <w:name w:val="List Paragraph"/>
    <w:basedOn w:val="a"/>
    <w:link w:val="Char10"/>
    <w:uiPriority w:val="1"/>
    <w:qFormat/>
    <w:rsid w:val="00726DDB"/>
    <w:pPr>
      <w:ind w:firstLine="420"/>
    </w:pPr>
    <w:rPr>
      <w:kern w:val="0"/>
      <w:sz w:val="20"/>
    </w:rPr>
  </w:style>
  <w:style w:type="character" w:customStyle="1" w:styleId="Char10">
    <w:name w:val="列出段落 Char1"/>
    <w:link w:val="a6"/>
    <w:uiPriority w:val="1"/>
    <w:qFormat/>
    <w:locked/>
    <w:rsid w:val="00726DDB"/>
    <w:rPr>
      <w:rFonts w:ascii="Times New Roman" w:eastAsia="宋体" w:hAnsi="Times New Roman" w:cs="Times New Roman"/>
      <w:kern w:val="0"/>
      <w:sz w:val="20"/>
      <w:szCs w:val="20"/>
    </w:rPr>
  </w:style>
  <w:style w:type="character" w:customStyle="1" w:styleId="Char2">
    <w:name w:val="正文文本 Char2"/>
    <w:link w:val="a5"/>
    <w:qFormat/>
    <w:locked/>
    <w:rsid w:val="00726DDB"/>
    <w:rPr>
      <w:rFonts w:ascii="新宋体" w:eastAsia="新宋体" w:hAnsi="新宋体"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Body Text" w:uiPriority="0"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qFormat/>
    <w:rsid w:val="00726DD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6D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6DDB"/>
    <w:rPr>
      <w:sz w:val="18"/>
      <w:szCs w:val="18"/>
    </w:rPr>
  </w:style>
  <w:style w:type="paragraph" w:styleId="a4">
    <w:name w:val="footer"/>
    <w:basedOn w:val="a"/>
    <w:link w:val="Char0"/>
    <w:uiPriority w:val="99"/>
    <w:unhideWhenUsed/>
    <w:rsid w:val="00726DDB"/>
    <w:pPr>
      <w:tabs>
        <w:tab w:val="center" w:pos="4153"/>
        <w:tab w:val="right" w:pos="8306"/>
      </w:tabs>
      <w:snapToGrid w:val="0"/>
      <w:jc w:val="left"/>
    </w:pPr>
    <w:rPr>
      <w:sz w:val="18"/>
      <w:szCs w:val="18"/>
    </w:rPr>
  </w:style>
  <w:style w:type="character" w:customStyle="1" w:styleId="Char0">
    <w:name w:val="页脚 Char"/>
    <w:basedOn w:val="a0"/>
    <w:link w:val="a4"/>
    <w:uiPriority w:val="99"/>
    <w:rsid w:val="00726DDB"/>
    <w:rPr>
      <w:sz w:val="18"/>
      <w:szCs w:val="18"/>
    </w:rPr>
  </w:style>
  <w:style w:type="paragraph" w:styleId="a5">
    <w:name w:val="Body Text"/>
    <w:basedOn w:val="a"/>
    <w:next w:val="a"/>
    <w:link w:val="Char2"/>
    <w:qFormat/>
    <w:rsid w:val="00726DDB"/>
    <w:pPr>
      <w:spacing w:after="120"/>
    </w:pPr>
    <w:rPr>
      <w:rFonts w:ascii="新宋体" w:eastAsia="新宋体" w:hAnsi="新宋体"/>
    </w:rPr>
  </w:style>
  <w:style w:type="character" w:customStyle="1" w:styleId="Char1">
    <w:name w:val="正文文本 Char"/>
    <w:basedOn w:val="a0"/>
    <w:uiPriority w:val="99"/>
    <w:semiHidden/>
    <w:rsid w:val="00726DDB"/>
    <w:rPr>
      <w:rFonts w:ascii="Times New Roman" w:eastAsia="宋体" w:hAnsi="Times New Roman" w:cs="Times New Roman"/>
      <w:szCs w:val="20"/>
    </w:rPr>
  </w:style>
  <w:style w:type="paragraph" w:styleId="a6">
    <w:name w:val="List Paragraph"/>
    <w:basedOn w:val="a"/>
    <w:link w:val="Char10"/>
    <w:uiPriority w:val="1"/>
    <w:qFormat/>
    <w:rsid w:val="00726DDB"/>
    <w:pPr>
      <w:ind w:firstLine="420"/>
    </w:pPr>
    <w:rPr>
      <w:kern w:val="0"/>
      <w:sz w:val="20"/>
    </w:rPr>
  </w:style>
  <w:style w:type="character" w:customStyle="1" w:styleId="Char10">
    <w:name w:val="列出段落 Char1"/>
    <w:link w:val="a6"/>
    <w:uiPriority w:val="1"/>
    <w:qFormat/>
    <w:locked/>
    <w:rsid w:val="00726DDB"/>
    <w:rPr>
      <w:rFonts w:ascii="Times New Roman" w:eastAsia="宋体" w:hAnsi="Times New Roman" w:cs="Times New Roman"/>
      <w:kern w:val="0"/>
      <w:sz w:val="20"/>
      <w:szCs w:val="20"/>
    </w:rPr>
  </w:style>
  <w:style w:type="character" w:customStyle="1" w:styleId="Char2">
    <w:name w:val="正文文本 Char2"/>
    <w:link w:val="a5"/>
    <w:qFormat/>
    <w:locked/>
    <w:rsid w:val="00726DDB"/>
    <w:rPr>
      <w:rFonts w:ascii="新宋体" w:eastAsia="新宋体" w:hAnsi="新宋体"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749</Words>
  <Characters>4270</Characters>
  <Application>Microsoft Office Word</Application>
  <DocSecurity>0</DocSecurity>
  <Lines>35</Lines>
  <Paragraphs>10</Paragraphs>
  <ScaleCrop>false</ScaleCrop>
  <Company/>
  <LinksUpToDate>false</LinksUpToDate>
  <CharactersWithSpaces>5009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2</cp:revision>
  <dcterms:created xsi:type="dcterms:W3CDTF">2024-06-20T08:02:00Z</dcterms:created>
  <dcterms:modified xsi:type="dcterms:W3CDTF">2024-06-20T08:03:00Z</dcterms:modified>
</cp:coreProperties>
</file>