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92A" w:rsidRDefault="0083492A" w:rsidP="0083492A">
      <w:pPr>
        <w:pStyle w:val="3"/>
        <w:rPr>
          <w:rFonts w:ascii="新宋体" w:eastAsia="新宋体" w:hAnsi="新宋体"/>
          <w:kern w:val="44"/>
          <w:szCs w:val="28"/>
        </w:rPr>
      </w:pPr>
      <w:r>
        <w:rPr>
          <w:rFonts w:ascii="新宋体" w:eastAsia="新宋体" w:hAnsi="新宋体" w:hint="eastAsia"/>
          <w:kern w:val="44"/>
          <w:szCs w:val="28"/>
        </w:rPr>
        <w:t>三、项目概况</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人民币玖拾捌万柒仟陆佰元（987,600.00），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人民币玖拾捌万柒仟陆佰元（987,600.00）</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83492A" w:rsidRDefault="0083492A" w:rsidP="0083492A">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随着数字政府建设的不断推进，电子政务运行保障工作强度与复杂度不断增加，对信息化管理带来了巨大的挑战。如何有效地管理信息化资产，实时监控预警，提高运维效率，提升运</w:t>
      </w:r>
      <w:proofErr w:type="gramStart"/>
      <w:r>
        <w:rPr>
          <w:rFonts w:ascii="新宋体" w:eastAsia="新宋体" w:hAnsi="新宋体" w:cs="宋体" w:hint="eastAsia"/>
          <w:szCs w:val="21"/>
        </w:rPr>
        <w:t>维能力</w:t>
      </w:r>
      <w:proofErr w:type="gramEnd"/>
      <w:r>
        <w:rPr>
          <w:rFonts w:ascii="新宋体" w:eastAsia="新宋体" w:hAnsi="新宋体" w:cs="宋体" w:hint="eastAsia"/>
          <w:szCs w:val="21"/>
        </w:rPr>
        <w:t>和水平，降低运维成本，已经成为信息化建设中必须解决的问题。</w:t>
      </w:r>
    </w:p>
    <w:p w:rsidR="0083492A" w:rsidRDefault="0083492A" w:rsidP="0083492A">
      <w:pPr>
        <w:rPr>
          <w:rFonts w:ascii="新宋体" w:eastAsia="新宋体" w:hAnsi="新宋体"/>
          <w:b/>
          <w:bCs/>
          <w:szCs w:val="21"/>
        </w:rPr>
      </w:pPr>
    </w:p>
    <w:p w:rsidR="0083492A" w:rsidRDefault="0083492A" w:rsidP="0083492A">
      <w:pPr>
        <w:pStyle w:val="3"/>
        <w:rPr>
          <w:rFonts w:ascii="新宋体" w:eastAsia="新宋体" w:hAnsi="新宋体"/>
          <w:kern w:val="44"/>
          <w:szCs w:val="28"/>
        </w:rPr>
      </w:pPr>
      <w:r>
        <w:rPr>
          <w:rFonts w:ascii="新宋体" w:eastAsia="新宋体" w:hAnsi="新宋体" w:hint="eastAsia"/>
          <w:kern w:val="44"/>
          <w:szCs w:val="28"/>
        </w:rPr>
        <w:t>四、项目技术要求</w:t>
      </w:r>
    </w:p>
    <w:p w:rsidR="0083492A" w:rsidRDefault="0083492A" w:rsidP="0083492A">
      <w:pPr>
        <w:spacing w:line="360"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（一）项目背景</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随着数字政府建设的不断推进，电子政务运行保障工作强度与复杂度不断增加，对信息化管理带来了巨大的挑战。如何有效地管理信息化资产，实时监控预警，提高运维效率，提升运</w:t>
      </w:r>
      <w:proofErr w:type="gramStart"/>
      <w:r>
        <w:rPr>
          <w:rFonts w:asciiTheme="minorEastAsia" w:eastAsiaTheme="minorEastAsia" w:hAnsiTheme="minorEastAsia" w:cstheme="minorEastAsia" w:hint="eastAsia"/>
        </w:rPr>
        <w:t>维能力</w:t>
      </w:r>
      <w:proofErr w:type="gramEnd"/>
      <w:r>
        <w:rPr>
          <w:rFonts w:asciiTheme="minorEastAsia" w:eastAsiaTheme="minorEastAsia" w:hAnsiTheme="minorEastAsia" w:cstheme="minorEastAsia" w:hint="eastAsia"/>
        </w:rPr>
        <w:t>和水平，降低运维成本，已经成为信息化建设中必须解决的问题。本项目旨在通过信息化运营管理系统服务及配套服务，为采购人提供一年的信息化运营服务。</w:t>
      </w:r>
    </w:p>
    <w:p w:rsidR="0083492A" w:rsidRDefault="0083492A" w:rsidP="0083492A">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（二）项目方案</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本项目旨在针对提供的一套综合性信息化运营管理系统，包含资源配置、监控中心、数据运营、系统功能等功能，提供5×8小时驻场运维服务和稳定的互联网接入服务，以提升运营效率和管理水平。</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1</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资源配置</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存储与管理信息化资源的各种配置信息，可以帮助用户更好地管理和控制信息化资源，了解资源间的关系和依赖性，实现配置项的跟踪和管理。</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资源配置可实现灵活的数据录入、数据导出、批量修改等操作，确保资源操作的规范化、流程化、标准化，有效管理各种信息化资源，如设备信息、软件信息、IDC信息、配置信息、IP信息、电话信息等，以及信息化资源的各种关系信息。</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资源配置通过数据模型，统一存储和管理，完成资源的生命周期的管理，实现信息共享，为后期决策提供数据依据。</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功能模块包含模型管理、资产盘点、模型关系、探针管理、数据权限、凭证管理等。</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2</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监控中心</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监控中心与资源配置进行深度融合，实现对网络资源、服务器、应用、集群、容器、节点、机房环境等信息化资源进行7×24小时的实时性能数据采集，系统能够实时关注到信息化资源中关键指标的健康度，从而及时预判潜在问题，出现异常情况能够及通过短信、邮件、微信、钉钉、语音等多种方式通知相关人员。</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功能模块包含监控总</w:t>
      </w:r>
      <w:proofErr w:type="gramStart"/>
      <w:r>
        <w:rPr>
          <w:rFonts w:asciiTheme="minorEastAsia" w:eastAsiaTheme="minorEastAsia" w:hAnsiTheme="minorEastAsia" w:cstheme="minorEastAsia" w:hint="eastAsia"/>
        </w:rPr>
        <w:t>览</w:t>
      </w:r>
      <w:proofErr w:type="gramEnd"/>
      <w:r>
        <w:rPr>
          <w:rFonts w:asciiTheme="minorEastAsia" w:eastAsiaTheme="minorEastAsia" w:hAnsiTheme="minorEastAsia" w:cstheme="minorEastAsia" w:hint="eastAsia"/>
        </w:rPr>
        <w:t>、监控模板、监控数据源、告警设置、告警看板等。</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3</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数据运营</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数据运营需提供标准版报表管理和数据大屏，支持报表管理功能，可以在线预览数据、自定义绘图和设置数据大屏，报表内容可以引用图表数据，支持插入按钮、HTML代码、文本等内容，满足复杂报表要求。</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功能模块包含大屏、图表、数据集、推送设置、自定义报表等。</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4</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系统配置</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管理员可通过系统配置对系统进行灵活的配置和管理，确保系统能够按照单位需求和安全标准进行运行，同时提高系统的稳定性和安全性。</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功能模块包含组织架构、权限管理、登录设置、菜单设置、企业信息、消息渠道、消息记录、系统状态等。</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5</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现场保障服务</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提供4名现场保障服务人员，负责保障综合性信息化运营管理系统的</w:t>
      </w:r>
      <w:proofErr w:type="gramStart"/>
      <w:r>
        <w:rPr>
          <w:rFonts w:asciiTheme="minorEastAsia" w:eastAsiaTheme="minorEastAsia" w:hAnsiTheme="minorEastAsia" w:cstheme="minorEastAsia" w:hint="eastAsia"/>
        </w:rPr>
        <w:t>常态化运维</w:t>
      </w:r>
      <w:proofErr w:type="gramEnd"/>
      <w:r>
        <w:rPr>
          <w:rFonts w:asciiTheme="minorEastAsia" w:eastAsiaTheme="minorEastAsia" w:hAnsiTheme="minorEastAsia" w:cstheme="minorEastAsia" w:hint="eastAsia"/>
        </w:rPr>
        <w:t>工作。具体负责运</w:t>
      </w:r>
      <w:proofErr w:type="gramStart"/>
      <w:r>
        <w:rPr>
          <w:rFonts w:asciiTheme="minorEastAsia" w:eastAsiaTheme="minorEastAsia" w:hAnsiTheme="minorEastAsia" w:cstheme="minorEastAsia" w:hint="eastAsia"/>
        </w:rPr>
        <w:t>维保障</w:t>
      </w:r>
      <w:proofErr w:type="gramEnd"/>
      <w:r>
        <w:rPr>
          <w:rFonts w:asciiTheme="minorEastAsia" w:eastAsiaTheme="minorEastAsia" w:hAnsiTheme="minorEastAsia" w:cstheme="minorEastAsia" w:hint="eastAsia"/>
        </w:rPr>
        <w:t>管理工作、终端设备保障工作、数据应用工作、数据管理工作等。</w:t>
      </w:r>
    </w:p>
    <w:p w:rsidR="0083492A" w:rsidRDefault="0083492A" w:rsidP="0083492A">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6</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互联网接入服务</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提供互联网接入服务（下行速率不低于100M），用于现场保障服务人员的日常办公使用。</w:t>
      </w:r>
    </w:p>
    <w:p w:rsidR="0083492A" w:rsidRDefault="0083492A" w:rsidP="0083492A">
      <w:pPr>
        <w:spacing w:line="360" w:lineRule="auto"/>
        <w:rPr>
          <w:rFonts w:asciiTheme="minorEastAsia" w:eastAsiaTheme="minorEastAsia" w:hAnsiTheme="minorEastAsia" w:cstheme="minorEastAsia"/>
        </w:rPr>
      </w:pPr>
    </w:p>
    <w:p w:rsidR="0083492A" w:rsidRDefault="0083492A" w:rsidP="0083492A">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（三）项目建设效果</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通过信息化运营管理系统的建立和实施，需实现以下几点要求：</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rPr>
        <w:t>.</w:t>
      </w:r>
      <w:r>
        <w:rPr>
          <w:rFonts w:asciiTheme="minorEastAsia" w:eastAsiaTheme="minorEastAsia" w:hAnsiTheme="minorEastAsia" w:cstheme="minorEastAsia" w:hint="eastAsia"/>
        </w:rPr>
        <w:t>促进数字化转型：通过可视化综合展示更好地了解信息化资源的使用及运行状况，促进规划数字化转型战略，提高信息技术的使用效率。</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rPr>
        <w:t>.</w:t>
      </w:r>
      <w:r>
        <w:rPr>
          <w:rFonts w:asciiTheme="minorEastAsia" w:eastAsiaTheme="minorEastAsia" w:hAnsiTheme="minorEastAsia" w:cstheme="minorEastAsia" w:hint="eastAsia"/>
        </w:rPr>
        <w:t>提升效能：提供统一的对外服务窗口，减少办事流程，缩短等待时间，提高工程师办事效率，提升部门间的协作效能。</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rPr>
        <w:t>.</w:t>
      </w:r>
      <w:r>
        <w:rPr>
          <w:rFonts w:asciiTheme="minorEastAsia" w:eastAsiaTheme="minorEastAsia" w:hAnsiTheme="minorEastAsia" w:cstheme="minorEastAsia" w:hint="eastAsia"/>
        </w:rPr>
        <w:t>提升资源利用率：更有效地管理和监控信息化资源使用及运行状态，减少了系统故障和停机时间，降低运维成本，提高资源利用效率。</w:t>
      </w:r>
    </w:p>
    <w:p w:rsidR="0083492A" w:rsidRDefault="0083492A" w:rsidP="0083492A">
      <w:pPr>
        <w:spacing w:line="360" w:lineRule="auto"/>
        <w:rPr>
          <w:rFonts w:asciiTheme="minorEastAsia" w:eastAsiaTheme="minorEastAsia" w:hAnsiTheme="minorEastAsia" w:cstheme="minorEastAsia"/>
          <w:b/>
        </w:rPr>
      </w:pP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rPr>
        <w:t>（四）项目风险</w:t>
      </w:r>
    </w:p>
    <w:p w:rsidR="0083492A" w:rsidRDefault="0083492A" w:rsidP="0083492A">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为降低本项目系统的安全性和可靠性等主要风险，需采取先进的技术手段和措施进行保障。同时，需充分考虑人员培训和使用过程中的问题，确保系统的有效使用和管理。</w:t>
      </w:r>
    </w:p>
    <w:p w:rsidR="0083492A" w:rsidRDefault="0083492A" w:rsidP="0083492A">
      <w:pPr>
        <w:rPr>
          <w:rFonts w:ascii="新宋体" w:eastAsia="新宋体" w:hAnsi="新宋体"/>
          <w:b/>
        </w:rPr>
      </w:pPr>
    </w:p>
    <w:p w:rsidR="0083492A" w:rsidRDefault="0083492A" w:rsidP="0083492A">
      <w:pPr>
        <w:spacing w:line="360" w:lineRule="auto"/>
        <w:rPr>
          <w:rFonts w:ascii="新宋体" w:eastAsia="新宋体" w:hAnsi="新宋体"/>
          <w:b/>
          <w:szCs w:val="21"/>
        </w:rPr>
      </w:pPr>
      <w:r>
        <w:rPr>
          <w:rFonts w:ascii="新宋体" w:eastAsia="新宋体" w:hAnsi="新宋体" w:hint="eastAsia"/>
          <w:b/>
          <w:szCs w:val="21"/>
        </w:rPr>
        <w:t>（五）项目技术要求</w:t>
      </w:r>
    </w:p>
    <w:p w:rsidR="0083492A" w:rsidRDefault="0083492A" w:rsidP="0083492A">
      <w:pPr>
        <w:spacing w:line="360" w:lineRule="auto"/>
        <w:rPr>
          <w:rFonts w:ascii="宋体" w:hAnsi="宋体" w:cs="宋体"/>
          <w:b/>
          <w:szCs w:val="21"/>
        </w:rPr>
      </w:pPr>
      <w:r>
        <w:rPr>
          <w:rFonts w:ascii="宋体" w:hAnsi="宋体" w:cs="宋体" w:hint="eastAsia"/>
          <w:b/>
          <w:szCs w:val="21"/>
        </w:rPr>
        <w:t>说明：</w:t>
      </w:r>
    </w:p>
    <w:p w:rsidR="0083492A" w:rsidRDefault="0083492A" w:rsidP="0083492A">
      <w:pPr>
        <w:spacing w:line="360" w:lineRule="auto"/>
        <w:rPr>
          <w:rFonts w:ascii="宋体" w:hAnsi="宋体" w:cs="宋体"/>
          <w:b/>
        </w:rPr>
      </w:pPr>
      <w:r>
        <w:rPr>
          <w:rFonts w:ascii="宋体" w:hAnsi="宋体" w:cs="宋体" w:hint="eastAsia"/>
          <w:b/>
        </w:rPr>
        <w:t>1.评分时，如对一项招标技术要求（以划分框为准）中的内容存在两处（或以上）负偏离的，在评分时只作一项负偏离扣分。</w:t>
      </w:r>
    </w:p>
    <w:p w:rsidR="0083492A" w:rsidRDefault="0083492A" w:rsidP="0083492A">
      <w:pPr>
        <w:spacing w:line="360" w:lineRule="auto"/>
        <w:rPr>
          <w:rFonts w:ascii="宋体" w:hAnsi="宋体" w:cs="宋体"/>
          <w:b/>
        </w:rPr>
      </w:pPr>
      <w:r>
        <w:rPr>
          <w:rFonts w:ascii="宋体" w:hAnsi="宋体" w:cs="宋体" w:hint="eastAsia"/>
          <w:b/>
        </w:rPr>
        <w:t>2.本项目招标技术要求中，</w:t>
      </w:r>
      <w:r>
        <w:rPr>
          <w:rFonts w:ascii="宋体" w:hAnsi="宋体" w:cs="宋体" w:hint="eastAsia"/>
          <w:b/>
          <w:color w:val="FF0000"/>
        </w:rPr>
        <w:t>用红色加粗字体标注的指标项均要求提供证明资料，共</w:t>
      </w:r>
      <w:r>
        <w:rPr>
          <w:rFonts w:ascii="宋体" w:hAnsi="宋体" w:cs="宋体" w:hint="eastAsia"/>
          <w:b/>
          <w:color w:val="FF0000"/>
          <w:highlight w:val="green"/>
        </w:rPr>
        <w:t>4</w:t>
      </w:r>
      <w:r>
        <w:rPr>
          <w:rFonts w:ascii="宋体" w:hAnsi="宋体" w:cs="宋体" w:hint="eastAsia"/>
          <w:b/>
          <w:color w:val="FF0000"/>
        </w:rPr>
        <w:t>项</w:t>
      </w:r>
      <w:r>
        <w:rPr>
          <w:rFonts w:ascii="宋体" w:hAnsi="宋体" w:cs="宋体" w:hint="eastAsia"/>
          <w:b/>
        </w:rPr>
        <w:t>；其余指标项未要求提供证明资料，无需提供相关证明资料。如投标人未按要求提供的，或提供的材料未能证明所投产品响应情况的，则该参数视为没有满足招标文件要求，将根据参数情况产生以下影响：</w:t>
      </w:r>
    </w:p>
    <w:p w:rsidR="0083492A" w:rsidRDefault="0083492A" w:rsidP="0083492A">
      <w:pPr>
        <w:spacing w:line="360" w:lineRule="auto"/>
        <w:rPr>
          <w:rFonts w:ascii="宋体" w:hAnsi="宋体" w:cs="宋体"/>
          <w:b/>
        </w:rPr>
      </w:pPr>
      <w:r>
        <w:rPr>
          <w:rFonts w:ascii="宋体" w:hAnsi="宋体" w:cs="宋体" w:hint="eastAsia"/>
          <w:b/>
        </w:rPr>
        <w:t>（1）如项目技术要求中设置了“▲”号的参数，则该项参数为重要技术指标，将在“产品技术指标符合程度评价”评分项中作为重点评价指标。</w:t>
      </w:r>
    </w:p>
    <w:p w:rsidR="0083492A" w:rsidRDefault="0083492A" w:rsidP="0083492A">
      <w:pPr>
        <w:spacing w:line="360" w:lineRule="auto"/>
        <w:rPr>
          <w:rFonts w:ascii="宋体" w:hAnsi="宋体" w:cs="宋体"/>
          <w:b/>
        </w:rPr>
      </w:pPr>
      <w:r>
        <w:rPr>
          <w:rFonts w:ascii="宋体" w:hAnsi="宋体" w:cs="宋体" w:hint="eastAsia"/>
          <w:b/>
        </w:rPr>
        <w:t>（2）如项目技术要求中未设置“▲”号的参数，则该项参数为普通技术指标，将在“产品技术指标符合程度评价”评分项中作为评价指标。</w:t>
      </w:r>
    </w:p>
    <w:p w:rsidR="0083492A" w:rsidRDefault="0083492A" w:rsidP="0083492A">
      <w:pPr>
        <w:spacing w:line="360" w:lineRule="auto"/>
        <w:rPr>
          <w:rFonts w:ascii="宋体" w:hAnsi="宋体" w:cs="宋体"/>
          <w:b/>
        </w:rPr>
      </w:pPr>
      <w:r>
        <w:rPr>
          <w:rFonts w:ascii="宋体" w:hAnsi="宋体" w:cs="宋体" w:hint="eastAsia"/>
          <w:b/>
        </w:rPr>
        <w:t>3.相关证明材料的内容与招标技术要求的内容不一致的，需提供为同种要求的说明；若内容不一致又未提供说明的，由评审委员会判定是否符合文件要求。</w:t>
      </w:r>
    </w:p>
    <w:tbl>
      <w:tblPr>
        <w:tblW w:w="5000" w:type="pct"/>
        <w:tblLook w:val="0000" w:firstRow="0" w:lastRow="0" w:firstColumn="0" w:lastColumn="0" w:noHBand="0" w:noVBand="0"/>
      </w:tblPr>
      <w:tblGrid>
        <w:gridCol w:w="427"/>
        <w:gridCol w:w="1076"/>
        <w:gridCol w:w="5584"/>
        <w:gridCol w:w="717"/>
        <w:gridCol w:w="718"/>
      </w:tblGrid>
      <w:tr w:rsidR="0083492A" w:rsidTr="00662DA2">
        <w:trPr>
          <w:trHeight w:val="290"/>
        </w:trPr>
        <w:tc>
          <w:tcPr>
            <w:tcW w:w="249" w:type="pct"/>
            <w:tcBorders>
              <w:top w:val="single" w:sz="8" w:space="0" w:color="auto"/>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632" w:type="pct"/>
            <w:tcBorders>
              <w:top w:val="single" w:sz="8" w:space="0" w:color="auto"/>
              <w:left w:val="nil"/>
              <w:bottom w:val="single" w:sz="8" w:space="0" w:color="auto"/>
              <w:right w:val="single" w:sz="8" w:space="0" w:color="auto"/>
            </w:tcBorders>
            <w:vAlign w:val="center"/>
          </w:tcPr>
          <w:p w:rsidR="0083492A" w:rsidRDefault="0083492A" w:rsidP="00662DA2">
            <w:pPr>
              <w:widowControl/>
              <w:jc w:val="center"/>
              <w:rPr>
                <w:rFonts w:ascii="宋体" w:hAnsi="宋体" w:cs="宋体"/>
                <w:b/>
                <w:bCs/>
                <w:color w:val="000000"/>
                <w:kern w:val="0"/>
                <w:szCs w:val="21"/>
              </w:rPr>
            </w:pPr>
            <w:r>
              <w:rPr>
                <w:rFonts w:ascii="宋体" w:hAnsi="宋体" w:cs="宋体" w:hint="eastAsia"/>
                <w:b/>
                <w:bCs/>
                <w:color w:val="000000"/>
                <w:kern w:val="0"/>
                <w:szCs w:val="21"/>
              </w:rPr>
              <w:t>指标项</w:t>
            </w:r>
          </w:p>
        </w:tc>
        <w:tc>
          <w:tcPr>
            <w:tcW w:w="3276" w:type="pct"/>
            <w:tcBorders>
              <w:top w:val="single" w:sz="8" w:space="0" w:color="auto"/>
              <w:left w:val="nil"/>
              <w:bottom w:val="single" w:sz="8" w:space="0" w:color="auto"/>
              <w:right w:val="single" w:sz="8" w:space="0" w:color="auto"/>
            </w:tcBorders>
            <w:vAlign w:val="center"/>
          </w:tcPr>
          <w:p w:rsidR="0083492A" w:rsidRDefault="0083492A" w:rsidP="00662DA2">
            <w:pPr>
              <w:widowControl/>
              <w:jc w:val="center"/>
              <w:rPr>
                <w:rFonts w:ascii="宋体" w:hAnsi="宋体" w:cs="宋体"/>
                <w:b/>
                <w:bCs/>
                <w:color w:val="000000"/>
                <w:kern w:val="0"/>
                <w:szCs w:val="21"/>
              </w:rPr>
            </w:pPr>
            <w:r>
              <w:rPr>
                <w:rFonts w:ascii="宋体" w:hAnsi="宋体" w:cs="宋体" w:hint="eastAsia"/>
                <w:b/>
                <w:bCs/>
                <w:color w:val="000000"/>
                <w:kern w:val="0"/>
                <w:szCs w:val="21"/>
              </w:rPr>
              <w:t>技术要求</w:t>
            </w:r>
          </w:p>
        </w:tc>
        <w:tc>
          <w:tcPr>
            <w:tcW w:w="421" w:type="pct"/>
            <w:tcBorders>
              <w:top w:val="single" w:sz="8" w:space="0" w:color="auto"/>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标注</w:t>
            </w:r>
          </w:p>
        </w:tc>
        <w:tc>
          <w:tcPr>
            <w:tcW w:w="421" w:type="pct"/>
            <w:tcBorders>
              <w:top w:val="single" w:sz="8" w:space="0" w:color="auto"/>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其他说明</w:t>
            </w:r>
          </w:p>
        </w:tc>
      </w:tr>
      <w:tr w:rsidR="0083492A" w:rsidTr="00662DA2">
        <w:trPr>
          <w:trHeight w:val="82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632" w:type="pct"/>
            <w:vMerge w:val="restar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资源配置</w:t>
            </w: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内置丰富的配置模型，至少包含网络设备、服务器、操作系统、数据库、中间件、基础资源等类型模型；</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自定义模型、自定义模型关系、自定义模型字段属性、自定义属性自动采集；</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模型字段设置应以控件方式进行拖拽配置，控件类型包含基础控件、系统控件、高级控件等；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对于模型属性字段的展示支持自定义排版，可显示或隐藏属性字段，支持设置多标签</w:t>
            </w:r>
            <w:proofErr w:type="gramStart"/>
            <w:r>
              <w:rPr>
                <w:rFonts w:ascii="新宋体" w:eastAsia="新宋体" w:hAnsi="新宋体" w:cs="宋体" w:hint="eastAsia"/>
                <w:bCs/>
                <w:kern w:val="0"/>
                <w:szCs w:val="21"/>
              </w:rPr>
              <w:t>页展示</w:t>
            </w:r>
            <w:proofErr w:type="gramEnd"/>
            <w:r>
              <w:rPr>
                <w:rFonts w:ascii="新宋体" w:eastAsia="新宋体" w:hAnsi="新宋体" w:cs="宋体" w:hint="eastAsia"/>
                <w:bCs/>
                <w:kern w:val="0"/>
                <w:szCs w:val="21"/>
              </w:rPr>
              <w:t>不同的属性字段；</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实例管理</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附件管理，可上传附件、删除附件；</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通过</w:t>
            </w:r>
            <w:r>
              <w:rPr>
                <w:rFonts w:ascii="新宋体" w:eastAsia="新宋体" w:hAnsi="新宋体" w:cs="宋体"/>
                <w:bCs/>
                <w:kern w:val="0"/>
                <w:szCs w:val="21"/>
              </w:rPr>
              <w:t>SNMP、IPMI、脚本、WMI等多种方式自定义配置项属性采集方法；</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自动发现功能，可自定义设置设备系统类和应用类的发现规则条件，可根据不同的模型设置不同的条件；</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82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lastRenderedPageBreak/>
              <w:t>7</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网络链路发现，可发现网络设备与服务器之间的链路情况和网络设备与网络设备之间的链路情况，可设置定时采集更新，支持</w:t>
            </w:r>
            <w:r>
              <w:rPr>
                <w:rFonts w:ascii="新宋体" w:eastAsia="新宋体" w:hAnsi="新宋体" w:cs="宋体"/>
                <w:bCs/>
                <w:kern w:val="0"/>
                <w:szCs w:val="21"/>
              </w:rPr>
              <w:t>Excel表格方式导出相关数据；</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对受管设备的相关凭证信息管理，凭证类型支持IPMI、SSH、Telnet、WMI、RDP、SNMP、JMX、WINRM等，可自定义凭证适用于哪些模型类型；</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机房机柜以</w:t>
            </w:r>
            <w:r>
              <w:rPr>
                <w:rFonts w:ascii="新宋体" w:eastAsia="新宋体" w:hAnsi="新宋体" w:cs="宋体"/>
                <w:bCs/>
                <w:kern w:val="0"/>
                <w:szCs w:val="21"/>
              </w:rPr>
              <w:t>2D图进行展示，通过点击机柜视图上的设备可跳转至设备资源详情页。</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10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632" w:type="pct"/>
            <w:vMerge w:val="restar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监控中心</w:t>
            </w: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功能，可自定义总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展示内容，可创建多套不同的监控总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模板，监控总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模板可设置多标签页，多权限，每个标签页的内容可以通过拖拉拽的方式自定义配置，内容包含机房告警、告警趋势、模型总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、图形展示、列表展示、</w:t>
            </w:r>
            <w:proofErr w:type="spellStart"/>
            <w:r>
              <w:rPr>
                <w:rFonts w:ascii="新宋体" w:eastAsia="新宋体" w:hAnsi="新宋体" w:cs="宋体"/>
                <w:bCs/>
                <w:kern w:val="0"/>
                <w:szCs w:val="21"/>
              </w:rPr>
              <w:t>topN</w:t>
            </w:r>
            <w:proofErr w:type="spellEnd"/>
            <w:r>
              <w:rPr>
                <w:rFonts w:ascii="新宋体" w:eastAsia="新宋体" w:hAnsi="新宋体" w:cs="宋体" w:hint="eastAsia"/>
                <w:bCs/>
                <w:kern w:val="0"/>
                <w:szCs w:val="21"/>
              </w:rPr>
              <w:t>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监控总</w:t>
            </w:r>
            <w:proofErr w:type="gramStart"/>
            <w:r>
              <w:rPr>
                <w:rFonts w:ascii="新宋体" w:eastAsia="新宋体" w:hAnsi="新宋体" w:cs="宋体" w:hint="eastAsia"/>
                <w:bCs/>
                <w:kern w:val="0"/>
                <w:szCs w:val="21"/>
              </w:rPr>
              <w:t>览需支持</w:t>
            </w:r>
            <w:proofErr w:type="gramEnd"/>
            <w:r>
              <w:rPr>
                <w:rFonts w:ascii="新宋体" w:eastAsia="新宋体" w:hAnsi="新宋体" w:cs="宋体" w:hint="eastAsia"/>
                <w:bCs/>
                <w:kern w:val="0"/>
                <w:szCs w:val="21"/>
              </w:rPr>
              <w:t>展示聚合监控视图，可自定义将不同的实例的监控项聚合在一个视图进行展示；</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自定义监控数据采集方法，自定义数据源的方式包含</w:t>
            </w:r>
            <w:r>
              <w:rPr>
                <w:rFonts w:ascii="新宋体" w:eastAsia="新宋体" w:hAnsi="新宋体" w:cs="宋体"/>
                <w:bCs/>
                <w:kern w:val="0"/>
                <w:szCs w:val="21"/>
              </w:rPr>
              <w:t>SNMP、监控脚本、第三方上传、IPMI、WMI、JMX、Telnet等；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10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bCs/>
                <w:kern w:val="0"/>
                <w:szCs w:val="21"/>
              </w:rPr>
              <w:t>SNMP、Telnet、JMX等自定义采集方式需提供表达式函数用于处理采集到的数据，包含但不限于escape转换函数，valuate数值计算函数、runtime时间转换函数、hex2str十六进制字符串转文本函数、</w:t>
            </w:r>
            <w:proofErr w:type="spellStart"/>
            <w:r>
              <w:rPr>
                <w:rFonts w:ascii="新宋体" w:eastAsia="新宋体" w:hAnsi="新宋体" w:cs="宋体"/>
                <w:bCs/>
                <w:kern w:val="0"/>
                <w:szCs w:val="21"/>
              </w:rPr>
              <w:t>concat</w:t>
            </w:r>
            <w:proofErr w:type="spellEnd"/>
            <w:r>
              <w:rPr>
                <w:rFonts w:ascii="新宋体" w:eastAsia="新宋体" w:hAnsi="新宋体" w:cs="宋体" w:hint="eastAsia"/>
                <w:bCs/>
                <w:kern w:val="0"/>
                <w:szCs w:val="21"/>
              </w:rPr>
              <w:t>拼接函数、</w:t>
            </w:r>
            <w:r>
              <w:rPr>
                <w:rFonts w:ascii="新宋体" w:eastAsia="新宋体" w:hAnsi="新宋体" w:cs="宋体"/>
                <w:bCs/>
                <w:kern w:val="0"/>
                <w:szCs w:val="21"/>
              </w:rPr>
              <w:t>speed速率计算函数、split正则分隔数据函数等；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自定义脚本</w:t>
            </w:r>
            <w:proofErr w:type="gramStart"/>
            <w:r>
              <w:rPr>
                <w:rFonts w:ascii="新宋体" w:eastAsia="新宋体" w:hAnsi="新宋体" w:cs="宋体" w:hint="eastAsia"/>
                <w:bCs/>
                <w:kern w:val="0"/>
                <w:szCs w:val="21"/>
              </w:rPr>
              <w:t>需支持</w:t>
            </w:r>
            <w:proofErr w:type="gramEnd"/>
            <w:r>
              <w:rPr>
                <w:rFonts w:ascii="新宋体" w:eastAsia="新宋体" w:hAnsi="新宋体" w:cs="宋体"/>
                <w:bCs/>
                <w:kern w:val="0"/>
                <w:szCs w:val="21"/>
              </w:rPr>
              <w:t>Python、Shell、Bat、</w:t>
            </w:r>
            <w:proofErr w:type="spellStart"/>
            <w:r>
              <w:rPr>
                <w:rFonts w:ascii="新宋体" w:eastAsia="新宋体" w:hAnsi="新宋体" w:cs="宋体"/>
                <w:bCs/>
                <w:kern w:val="0"/>
                <w:szCs w:val="21"/>
              </w:rPr>
              <w:t>Powershell</w:t>
            </w:r>
            <w:proofErr w:type="spellEnd"/>
            <w:r>
              <w:rPr>
                <w:rFonts w:ascii="新宋体" w:eastAsia="新宋体" w:hAnsi="新宋体" w:cs="宋体" w:hint="eastAsia"/>
                <w:bCs/>
                <w:kern w:val="0"/>
                <w:szCs w:val="21"/>
              </w:rPr>
              <w:t>、</w:t>
            </w:r>
            <w:r>
              <w:rPr>
                <w:rFonts w:ascii="新宋体" w:eastAsia="新宋体" w:hAnsi="新宋体" w:cs="宋体"/>
                <w:bCs/>
                <w:kern w:val="0"/>
                <w:szCs w:val="21"/>
              </w:rPr>
              <w:t>Perl、Binary等多种语言；</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15</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自定义设置告警规则、告警级别、告警屏蔽、告警升级、告警时间等；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82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16</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自定义设置告警规则条件，</w:t>
            </w:r>
            <w:proofErr w:type="gramStart"/>
            <w:r>
              <w:rPr>
                <w:rFonts w:ascii="新宋体" w:eastAsia="新宋体" w:hAnsi="新宋体" w:cs="宋体" w:hint="eastAsia"/>
                <w:color w:val="000000"/>
                <w:kern w:val="0"/>
                <w:szCs w:val="21"/>
              </w:rPr>
              <w:t>规则条件</w:t>
            </w:r>
            <w:proofErr w:type="gramEnd"/>
            <w:r>
              <w:rPr>
                <w:rFonts w:ascii="新宋体" w:eastAsia="新宋体" w:hAnsi="新宋体" w:cs="宋体" w:hint="eastAsia"/>
                <w:color w:val="000000"/>
                <w:kern w:val="0"/>
                <w:szCs w:val="21"/>
              </w:rPr>
              <w:t>支持采用正则表达式方式进行设置，同时内置多种告警函数可用于设置告警规则条件，如count函数：对于采集区间的阈值触发次数判定、diff函数：比较最近</w:t>
            </w:r>
            <w:proofErr w:type="gramStart"/>
            <w:r>
              <w:rPr>
                <w:rFonts w:ascii="新宋体" w:eastAsia="新宋体" w:hAnsi="新宋体" w:cs="宋体" w:hint="eastAsia"/>
                <w:color w:val="000000"/>
                <w:kern w:val="0"/>
                <w:szCs w:val="21"/>
              </w:rPr>
              <w:t>获取值</w:t>
            </w:r>
            <w:proofErr w:type="gramEnd"/>
            <w:r>
              <w:rPr>
                <w:rFonts w:ascii="新宋体" w:eastAsia="新宋体" w:hAnsi="新宋体" w:cs="宋体" w:hint="eastAsia"/>
                <w:color w:val="000000"/>
                <w:kern w:val="0"/>
                <w:szCs w:val="21"/>
              </w:rPr>
              <w:t>与之前</w:t>
            </w:r>
            <w:proofErr w:type="gramStart"/>
            <w:r>
              <w:rPr>
                <w:rFonts w:ascii="新宋体" w:eastAsia="新宋体" w:hAnsi="新宋体" w:cs="宋体" w:hint="eastAsia"/>
                <w:color w:val="000000"/>
                <w:kern w:val="0"/>
                <w:szCs w:val="21"/>
              </w:rPr>
              <w:t>获取值</w:t>
            </w:r>
            <w:proofErr w:type="gramEnd"/>
            <w:r>
              <w:rPr>
                <w:rFonts w:ascii="新宋体" w:eastAsia="新宋体" w:hAnsi="新宋体" w:cs="宋体" w:hint="eastAsia"/>
                <w:color w:val="000000"/>
                <w:kern w:val="0"/>
                <w:szCs w:val="21"/>
              </w:rPr>
              <w:t>是否相同等；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17</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自定义配置告警内容和恢复内容的展示信息；</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136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18</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国内外主流交换机、路由器、防火墙、VPN设备、光纤交换机、安全设备、负载均衡等设备监控，支持通过SNMP v1、v2c、v3</w:t>
            </w:r>
            <w:proofErr w:type="gramStart"/>
            <w:r>
              <w:rPr>
                <w:rFonts w:ascii="新宋体" w:eastAsia="新宋体" w:hAnsi="新宋体" w:cs="宋体" w:hint="eastAsia"/>
                <w:color w:val="000000"/>
                <w:kern w:val="0"/>
                <w:szCs w:val="21"/>
              </w:rPr>
              <w:t>三个</w:t>
            </w:r>
            <w:proofErr w:type="gramEnd"/>
            <w:r>
              <w:rPr>
                <w:rFonts w:ascii="新宋体" w:eastAsia="新宋体" w:hAnsi="新宋体" w:cs="宋体" w:hint="eastAsia"/>
                <w:color w:val="000000"/>
                <w:kern w:val="0"/>
                <w:szCs w:val="21"/>
              </w:rPr>
              <w:t>版本进行采集监控数据，监控指标需包含：CPU利用率、内存利用率、磁盘利用率、Ping延迟、端口使用情况（如端口UP与Down、端口出入流量、错包率、丢包率、带宽使用率等）、板卡情况等，并支持自定义时间段查询历史数据；</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19</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专线监控支持自定义分组展示专线线路；可支持监控</w:t>
            </w:r>
            <w:r>
              <w:rPr>
                <w:rFonts w:ascii="新宋体" w:eastAsia="新宋体" w:hAnsi="新宋体" w:cs="宋体"/>
                <w:bCs/>
                <w:kern w:val="0"/>
                <w:szCs w:val="21"/>
              </w:rPr>
              <w:t>IPSLA任务、NQA任务、BGP任务等；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20</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对服务器硬件状态的监控，</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对Windows、Linux、国产操作系统等类型操作系统进行监控，操作系统</w:t>
            </w:r>
            <w:r>
              <w:rPr>
                <w:rFonts w:ascii="新宋体" w:eastAsia="新宋体" w:hAnsi="新宋体" w:cs="宋体" w:hint="eastAsia"/>
                <w:color w:val="000000"/>
                <w:kern w:val="0"/>
                <w:szCs w:val="21"/>
              </w:rPr>
              <w:lastRenderedPageBreak/>
              <w:t>监控支持Agent和Agentless两种方式进行监控；</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lastRenderedPageBreak/>
              <w:t>21</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 xml:space="preserve">对Oracle、MS </w:t>
            </w:r>
            <w:proofErr w:type="spellStart"/>
            <w:r>
              <w:rPr>
                <w:rFonts w:ascii="新宋体" w:eastAsia="新宋体" w:hAnsi="新宋体" w:cs="宋体" w:hint="eastAsia"/>
                <w:color w:val="000000"/>
                <w:kern w:val="0"/>
                <w:szCs w:val="21"/>
              </w:rPr>
              <w:t>SQLServer</w:t>
            </w:r>
            <w:proofErr w:type="spellEnd"/>
            <w:r>
              <w:rPr>
                <w:rFonts w:ascii="新宋体" w:eastAsia="新宋体" w:hAnsi="新宋体" w:cs="宋体" w:hint="eastAsia"/>
                <w:color w:val="000000"/>
                <w:kern w:val="0"/>
                <w:szCs w:val="21"/>
              </w:rPr>
              <w:t>、MySQL、MongoDB、PostgreSQL等数据库进行监控，无需在数据库中安装探针便可进行监控；</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22</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URL监控，监控指标需包含http状态码、耗时等；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23</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生成网络拓扑图和自定义绘制拓扑图，支持网络拓扑图的移动、拖拽排版、标识颜色设置、标识显示设置、告警标识设置、快速过滤、放大、缩小、采集更新等功能；</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24</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告警消息可通过短信、企业微信、钉钉、邮件、语音、飞书等方式推送告警信息给指定人员；</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25</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设备实例监控页面</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采用Ping、Traceroute、MTR、</w:t>
            </w:r>
            <w:proofErr w:type="spellStart"/>
            <w:r>
              <w:rPr>
                <w:rFonts w:ascii="新宋体" w:eastAsia="新宋体" w:hAnsi="新宋体" w:cs="宋体" w:hint="eastAsia"/>
                <w:color w:val="000000"/>
                <w:kern w:val="0"/>
                <w:szCs w:val="21"/>
              </w:rPr>
              <w:t>Netscan</w:t>
            </w:r>
            <w:proofErr w:type="spellEnd"/>
            <w:r>
              <w:rPr>
                <w:rFonts w:ascii="新宋体" w:eastAsia="新宋体" w:hAnsi="新宋体" w:cs="宋体" w:hint="eastAsia"/>
                <w:color w:val="000000"/>
                <w:kern w:val="0"/>
                <w:szCs w:val="21"/>
              </w:rPr>
              <w:t>等网络诊断工具进行快速诊断，</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Web界面实时显示诊断情况。</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26</w:t>
            </w:r>
          </w:p>
        </w:tc>
        <w:tc>
          <w:tcPr>
            <w:tcW w:w="632" w:type="pct"/>
            <w:vMerge w:val="restar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数据运营</w:t>
            </w: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需提供标准版报表管理和数据大屏；</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27</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报表管理功能，包含性能监控报表、设备容量报表、自定义报表等；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10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28</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系统需提供报表设计器，包含数据集、图表等功能，数据</w:t>
            </w:r>
            <w:proofErr w:type="gramStart"/>
            <w:r>
              <w:rPr>
                <w:rFonts w:ascii="新宋体" w:eastAsia="新宋体" w:hAnsi="新宋体" w:cs="宋体" w:hint="eastAsia"/>
                <w:color w:val="000000"/>
                <w:kern w:val="0"/>
                <w:szCs w:val="21"/>
              </w:rPr>
              <w:t>集需支持</w:t>
            </w:r>
            <w:proofErr w:type="gramEnd"/>
            <w:r>
              <w:rPr>
                <w:rFonts w:ascii="新宋体" w:eastAsia="新宋体" w:hAnsi="新宋体" w:cs="宋体" w:hint="eastAsia"/>
                <w:color w:val="000000"/>
                <w:kern w:val="0"/>
                <w:szCs w:val="21"/>
              </w:rPr>
              <w:t>通过API、SQL、JSON静态数据、Excel静态数据等方式获取数据，并支持在线预览数据；图表</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通过引用数据集的数据进行自定义绘图，图形类型包含基础饼图、</w:t>
            </w:r>
            <w:proofErr w:type="gramStart"/>
            <w:r>
              <w:rPr>
                <w:rFonts w:ascii="新宋体" w:eastAsia="新宋体" w:hAnsi="新宋体" w:cs="宋体" w:hint="eastAsia"/>
                <w:color w:val="000000"/>
                <w:kern w:val="0"/>
                <w:szCs w:val="21"/>
              </w:rPr>
              <w:t>基础环图</w:t>
            </w:r>
            <w:proofErr w:type="gramEnd"/>
            <w:r>
              <w:rPr>
                <w:rFonts w:ascii="新宋体" w:eastAsia="新宋体" w:hAnsi="新宋体" w:cs="宋体" w:hint="eastAsia"/>
                <w:color w:val="000000"/>
                <w:kern w:val="0"/>
                <w:szCs w:val="21"/>
              </w:rPr>
              <w:t>、基础柱状图、分组条形图、基础折线图、折线面积图、基础文本、基础表格等；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29</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创建自定义报表，报表内容可引用图表数据，也支持插入按钮、HTML代码、文本等内容，可满足复杂报表要求；</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30</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自定义设置数据大屏，大屏权限可以设置为私有大屏、共享（但只读）或共享（可读可写）等，数据刷新间隔可自定义设置，可自定义布局；</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55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31</w:t>
            </w:r>
          </w:p>
        </w:tc>
        <w:tc>
          <w:tcPr>
            <w:tcW w:w="632" w:type="pct"/>
            <w:vMerge w:val="restar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系统配置</w:t>
            </w: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需提供组织架构、权限管理、登录设置、菜单设置、企业信息、消息渠道、消息记录、系统状态等系统基础功能；</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40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32</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新宋体" w:eastAsia="新宋体" w:hAnsi="新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Cs/>
                <w:kern w:val="0"/>
                <w:szCs w:val="21"/>
              </w:rPr>
            </w:pPr>
            <w:r>
              <w:rPr>
                <w:rFonts w:ascii="新宋体" w:eastAsia="新宋体" w:hAnsi="新宋体" w:cs="宋体" w:hint="eastAsia"/>
                <w:bCs/>
                <w:kern w:val="0"/>
                <w:szCs w:val="21"/>
              </w:rPr>
              <w:t>登录设置</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会话超时设置、登录设置、密码策略等，登录设置支持</w:t>
            </w:r>
            <w:r>
              <w:rPr>
                <w:rFonts w:ascii="新宋体" w:eastAsia="新宋体" w:hAnsi="新宋体" w:cs="宋体"/>
                <w:bCs/>
                <w:kern w:val="0"/>
                <w:szCs w:val="21"/>
              </w:rPr>
              <w:t>SSO单点登录、LDAP登录等，</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灵活的密码策略设置，设置内容至少包括密码字符、最小密码长度、过期时间、强制密码历史、锁定时间等；</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33</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新宋体" w:eastAsia="新宋体" w:hAnsi="新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菜单设置</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自定义调整各菜单位置。</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34</w:t>
            </w:r>
          </w:p>
        </w:tc>
        <w:tc>
          <w:tcPr>
            <w:tcW w:w="632" w:type="pct"/>
            <w:vMerge w:val="restar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产品资质要求</w:t>
            </w: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
                <w:bCs/>
                <w:color w:val="FF0000"/>
                <w:kern w:val="0"/>
                <w:szCs w:val="21"/>
              </w:rPr>
            </w:pPr>
            <w:r>
              <w:rPr>
                <w:rFonts w:ascii="新宋体" w:eastAsia="新宋体" w:hAnsi="新宋体" w:cs="宋体" w:hint="eastAsia"/>
                <w:b/>
                <w:bCs/>
                <w:color w:val="FF0000"/>
                <w:kern w:val="0"/>
                <w:szCs w:val="21"/>
              </w:rPr>
              <w:t>投标产品需具有统信软件产品互认证明。（需提供证书扫描件）</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35</w:t>
            </w:r>
          </w:p>
        </w:tc>
        <w:tc>
          <w:tcPr>
            <w:tcW w:w="632" w:type="pct"/>
            <w:vMerge/>
            <w:tcBorders>
              <w:top w:val="nil"/>
              <w:left w:val="single" w:sz="8" w:space="0" w:color="auto"/>
              <w:bottom w:val="single" w:sz="8"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3492A" w:rsidRDefault="0083492A" w:rsidP="00662DA2">
            <w:pPr>
              <w:widowControl/>
              <w:rPr>
                <w:rFonts w:ascii="新宋体" w:eastAsia="新宋体" w:hAnsi="新宋体" w:cs="宋体"/>
                <w:b/>
                <w:color w:val="FF0000"/>
                <w:kern w:val="0"/>
                <w:szCs w:val="21"/>
              </w:rPr>
            </w:pPr>
            <w:r>
              <w:rPr>
                <w:rFonts w:ascii="新宋体" w:eastAsia="新宋体" w:hAnsi="新宋体" w:cs="宋体" w:hint="eastAsia"/>
                <w:b/>
                <w:color w:val="FF0000"/>
                <w:kern w:val="0"/>
                <w:szCs w:val="21"/>
              </w:rPr>
              <w:t>投标产品需具有麒麟软件</w:t>
            </w:r>
            <w:r>
              <w:rPr>
                <w:rFonts w:ascii="新宋体" w:eastAsia="新宋体" w:hAnsi="新宋体" w:cs="宋体"/>
                <w:b/>
                <w:color w:val="FF0000"/>
                <w:kern w:val="0"/>
                <w:szCs w:val="21"/>
              </w:rPr>
              <w:t xml:space="preserve"> </w:t>
            </w:r>
            <w:proofErr w:type="spellStart"/>
            <w:r>
              <w:rPr>
                <w:rFonts w:ascii="新宋体" w:eastAsia="新宋体" w:hAnsi="新宋体" w:cs="宋体"/>
                <w:b/>
                <w:color w:val="FF0000"/>
                <w:kern w:val="0"/>
                <w:szCs w:val="21"/>
              </w:rPr>
              <w:t>NeoCertify</w:t>
            </w:r>
            <w:proofErr w:type="spellEnd"/>
            <w:r>
              <w:rPr>
                <w:rFonts w:ascii="新宋体" w:eastAsia="新宋体" w:hAnsi="新宋体" w:cs="宋体"/>
                <w:b/>
                <w:color w:val="FF0000"/>
                <w:kern w:val="0"/>
                <w:szCs w:val="21"/>
              </w:rPr>
              <w:t xml:space="preserve"> 认证。（需提供证书扫描件）</w:t>
            </w: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Tr="00662DA2">
        <w:trPr>
          <w:trHeight w:val="290"/>
        </w:trPr>
        <w:tc>
          <w:tcPr>
            <w:tcW w:w="249" w:type="pct"/>
            <w:tcBorders>
              <w:top w:val="nil"/>
              <w:left w:val="single" w:sz="8" w:space="0" w:color="auto"/>
              <w:bottom w:val="single" w:sz="4" w:space="0" w:color="auto"/>
              <w:right w:val="single" w:sz="8" w:space="0" w:color="auto"/>
            </w:tcBorders>
            <w:vAlign w:val="center"/>
          </w:tcPr>
          <w:p w:rsidR="0083492A" w:rsidRDefault="0083492A" w:rsidP="00662DA2">
            <w:pPr>
              <w:widowControl/>
              <w:jc w:val="center"/>
              <w:rPr>
                <w:rFonts w:ascii="宋体" w:hAnsi="宋体" w:cs="宋体"/>
                <w:color w:val="000000"/>
                <w:kern w:val="0"/>
                <w:szCs w:val="21"/>
              </w:rPr>
            </w:pPr>
            <w:r>
              <w:rPr>
                <w:rFonts w:ascii="宋体" w:hAnsi="宋体" w:cs="宋体" w:hint="eastAsia"/>
                <w:color w:val="000000"/>
                <w:kern w:val="0"/>
                <w:szCs w:val="21"/>
              </w:rPr>
              <w:t>36</w:t>
            </w:r>
          </w:p>
        </w:tc>
        <w:tc>
          <w:tcPr>
            <w:tcW w:w="632" w:type="pct"/>
            <w:vMerge/>
            <w:tcBorders>
              <w:top w:val="nil"/>
              <w:left w:val="single" w:sz="8" w:space="0" w:color="auto"/>
              <w:bottom w:val="single" w:sz="4" w:space="0" w:color="auto"/>
              <w:right w:val="single" w:sz="8" w:space="0" w:color="auto"/>
            </w:tcBorders>
            <w:vAlign w:val="center"/>
          </w:tcPr>
          <w:p w:rsidR="0083492A" w:rsidRDefault="0083492A" w:rsidP="00662DA2">
            <w:pPr>
              <w:widowControl/>
              <w:jc w:val="left"/>
              <w:rPr>
                <w:rFonts w:ascii="宋体" w:hAnsi="宋体" w:cs="宋体"/>
                <w:b/>
                <w:bCs/>
                <w:color w:val="000000"/>
                <w:kern w:val="0"/>
                <w:szCs w:val="21"/>
              </w:rPr>
            </w:pPr>
          </w:p>
        </w:tc>
        <w:tc>
          <w:tcPr>
            <w:tcW w:w="3276" w:type="pct"/>
            <w:tcBorders>
              <w:top w:val="nil"/>
              <w:left w:val="nil"/>
              <w:bottom w:val="single" w:sz="4" w:space="0" w:color="auto"/>
              <w:right w:val="single" w:sz="8" w:space="0" w:color="auto"/>
            </w:tcBorders>
            <w:vAlign w:val="center"/>
          </w:tcPr>
          <w:p w:rsidR="0083492A" w:rsidRDefault="0083492A" w:rsidP="00662DA2">
            <w:pPr>
              <w:widowControl/>
              <w:rPr>
                <w:rFonts w:ascii="新宋体" w:eastAsia="新宋体" w:hAnsi="新宋体" w:cs="宋体"/>
                <w:b/>
                <w:color w:val="FF0000"/>
                <w:kern w:val="0"/>
                <w:szCs w:val="21"/>
              </w:rPr>
            </w:pPr>
            <w:r>
              <w:rPr>
                <w:rFonts w:ascii="新宋体" w:eastAsia="新宋体" w:hAnsi="新宋体" w:cs="宋体" w:hint="eastAsia"/>
                <w:b/>
                <w:color w:val="FF0000"/>
                <w:kern w:val="0"/>
                <w:szCs w:val="21"/>
              </w:rPr>
              <w:t>投标产品需具有鲲鹏技术认证书。（需提供证书扫描件）</w:t>
            </w:r>
          </w:p>
        </w:tc>
        <w:tc>
          <w:tcPr>
            <w:tcW w:w="421" w:type="pct"/>
            <w:tcBorders>
              <w:top w:val="nil"/>
              <w:left w:val="nil"/>
              <w:bottom w:val="single" w:sz="4"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c>
          <w:tcPr>
            <w:tcW w:w="421" w:type="pct"/>
            <w:tcBorders>
              <w:top w:val="nil"/>
              <w:left w:val="nil"/>
              <w:bottom w:val="single" w:sz="4" w:space="0" w:color="auto"/>
              <w:right w:val="single" w:sz="8" w:space="0" w:color="auto"/>
            </w:tcBorders>
            <w:vAlign w:val="center"/>
          </w:tcPr>
          <w:p w:rsidR="0083492A" w:rsidRDefault="0083492A" w:rsidP="00662DA2">
            <w:pPr>
              <w:widowControl/>
              <w:jc w:val="center"/>
              <w:rPr>
                <w:rFonts w:ascii="宋体" w:hAnsi="宋体" w:cs="宋体"/>
                <w:color w:val="000000"/>
                <w:kern w:val="0"/>
                <w:sz w:val="22"/>
                <w:szCs w:val="22"/>
              </w:rPr>
            </w:pPr>
          </w:p>
        </w:tc>
      </w:tr>
      <w:tr w:rsidR="0083492A" w:rsidRPr="00845078" w:rsidTr="00662DA2">
        <w:trPr>
          <w:trHeight w:val="290"/>
        </w:trPr>
        <w:tc>
          <w:tcPr>
            <w:tcW w:w="249" w:type="pct"/>
            <w:tcBorders>
              <w:top w:val="single" w:sz="4" w:space="0" w:color="auto"/>
              <w:left w:val="single" w:sz="8" w:space="0" w:color="auto"/>
              <w:bottom w:val="single" w:sz="8" w:space="0" w:color="auto"/>
              <w:right w:val="single" w:sz="8" w:space="0" w:color="auto"/>
            </w:tcBorders>
            <w:vAlign w:val="center"/>
          </w:tcPr>
          <w:p w:rsidR="0083492A" w:rsidRPr="00845078" w:rsidRDefault="0083492A" w:rsidP="00662DA2">
            <w:pPr>
              <w:widowControl/>
              <w:jc w:val="center"/>
              <w:rPr>
                <w:rFonts w:ascii="宋体" w:hAnsi="宋体" w:cs="宋体"/>
                <w:color w:val="000000"/>
                <w:kern w:val="0"/>
                <w:szCs w:val="21"/>
              </w:rPr>
            </w:pPr>
            <w:r w:rsidRPr="00845078">
              <w:rPr>
                <w:rFonts w:ascii="宋体" w:hAnsi="宋体" w:cs="宋体" w:hint="eastAsia"/>
                <w:color w:val="000000"/>
                <w:kern w:val="0"/>
                <w:szCs w:val="21"/>
              </w:rPr>
              <w:t>37</w:t>
            </w:r>
          </w:p>
        </w:tc>
        <w:tc>
          <w:tcPr>
            <w:tcW w:w="632" w:type="pct"/>
            <w:tcBorders>
              <w:top w:val="single" w:sz="4" w:space="0" w:color="auto"/>
              <w:left w:val="single" w:sz="8" w:space="0" w:color="auto"/>
              <w:bottom w:val="single" w:sz="8" w:space="0" w:color="auto"/>
              <w:right w:val="single" w:sz="8" w:space="0" w:color="auto"/>
            </w:tcBorders>
            <w:vAlign w:val="center"/>
          </w:tcPr>
          <w:p w:rsidR="0083492A" w:rsidRPr="00845078" w:rsidRDefault="0083492A" w:rsidP="00662DA2">
            <w:pPr>
              <w:widowControl/>
              <w:jc w:val="left"/>
              <w:rPr>
                <w:rFonts w:ascii="宋体" w:hAnsi="宋体" w:cs="宋体"/>
                <w:b/>
                <w:bCs/>
                <w:color w:val="000000"/>
                <w:kern w:val="0"/>
                <w:szCs w:val="21"/>
              </w:rPr>
            </w:pPr>
            <w:r w:rsidRPr="00845078">
              <w:rPr>
                <w:rFonts w:ascii="宋体" w:hAnsi="宋体" w:cs="宋体" w:hint="eastAsia"/>
                <w:b/>
                <w:bCs/>
                <w:color w:val="000000"/>
                <w:kern w:val="0"/>
                <w:szCs w:val="21"/>
              </w:rPr>
              <w:t>现场服务要求</w:t>
            </w:r>
          </w:p>
        </w:tc>
        <w:tc>
          <w:tcPr>
            <w:tcW w:w="3276" w:type="pct"/>
            <w:tcBorders>
              <w:top w:val="single" w:sz="4" w:space="0" w:color="auto"/>
              <w:left w:val="nil"/>
              <w:bottom w:val="single" w:sz="8" w:space="0" w:color="auto"/>
              <w:right w:val="single" w:sz="8" w:space="0" w:color="auto"/>
            </w:tcBorders>
            <w:vAlign w:val="center"/>
          </w:tcPr>
          <w:p w:rsidR="0083492A" w:rsidRPr="00845078" w:rsidRDefault="0083492A" w:rsidP="00662DA2">
            <w:pPr>
              <w:rPr>
                <w:rFonts w:ascii="新宋体" w:eastAsia="新宋体" w:hAnsi="新宋体" w:hint="eastAsia"/>
                <w:b/>
              </w:rPr>
            </w:pPr>
            <w:r w:rsidRPr="00845078">
              <w:rPr>
                <w:rFonts w:ascii="新宋体" w:eastAsia="新宋体" w:hAnsi="新宋体" w:cs="宋体" w:hint="eastAsia"/>
                <w:b/>
                <w:color w:val="FF0000"/>
                <w:kern w:val="0"/>
                <w:szCs w:val="21"/>
              </w:rPr>
              <w:t>承诺提供不少于4人现场服务，要求均具有大专以上学历且具有3年以上数字政府建设相关服务经验。（需提供承诺函）</w:t>
            </w:r>
          </w:p>
        </w:tc>
        <w:tc>
          <w:tcPr>
            <w:tcW w:w="421" w:type="pct"/>
            <w:tcBorders>
              <w:top w:val="single" w:sz="4" w:space="0" w:color="auto"/>
              <w:left w:val="nil"/>
              <w:bottom w:val="single" w:sz="8" w:space="0" w:color="auto"/>
              <w:right w:val="single" w:sz="8" w:space="0" w:color="auto"/>
            </w:tcBorders>
            <w:vAlign w:val="center"/>
          </w:tcPr>
          <w:p w:rsidR="0083492A" w:rsidRPr="00845078" w:rsidRDefault="0083492A" w:rsidP="00662DA2">
            <w:pPr>
              <w:widowControl/>
              <w:jc w:val="center"/>
              <w:rPr>
                <w:rFonts w:ascii="宋体" w:hAnsi="宋体" w:cs="宋体"/>
                <w:color w:val="000000"/>
                <w:kern w:val="0"/>
                <w:sz w:val="22"/>
                <w:szCs w:val="22"/>
              </w:rPr>
            </w:pPr>
            <w:r w:rsidRPr="00845078">
              <w:rPr>
                <w:rFonts w:ascii="宋体" w:hAnsi="宋体" w:cs="宋体" w:hint="eastAsia"/>
                <w:color w:val="000000"/>
                <w:kern w:val="0"/>
                <w:sz w:val="22"/>
                <w:szCs w:val="22"/>
              </w:rPr>
              <w:t>▲</w:t>
            </w:r>
          </w:p>
        </w:tc>
        <w:tc>
          <w:tcPr>
            <w:tcW w:w="421" w:type="pct"/>
            <w:tcBorders>
              <w:top w:val="single" w:sz="4" w:space="0" w:color="auto"/>
              <w:left w:val="nil"/>
              <w:bottom w:val="single" w:sz="8" w:space="0" w:color="auto"/>
              <w:right w:val="single" w:sz="8" w:space="0" w:color="auto"/>
            </w:tcBorders>
            <w:vAlign w:val="center"/>
          </w:tcPr>
          <w:p w:rsidR="0083492A" w:rsidRPr="00845078" w:rsidRDefault="0083492A" w:rsidP="00662DA2">
            <w:pPr>
              <w:widowControl/>
              <w:jc w:val="center"/>
              <w:rPr>
                <w:rFonts w:ascii="宋体" w:hAnsi="宋体" w:cs="宋体"/>
                <w:color w:val="000000"/>
                <w:kern w:val="0"/>
                <w:sz w:val="22"/>
                <w:szCs w:val="22"/>
              </w:rPr>
            </w:pPr>
          </w:p>
        </w:tc>
      </w:tr>
    </w:tbl>
    <w:p w:rsidR="0083492A" w:rsidRDefault="0083492A" w:rsidP="0083492A">
      <w:pPr>
        <w:rPr>
          <w:rFonts w:ascii="宋体" w:hAnsi="宋体" w:cs="宋体"/>
          <w:b/>
        </w:rPr>
      </w:pPr>
    </w:p>
    <w:p w:rsidR="0083492A" w:rsidRPr="00845078" w:rsidRDefault="0083492A" w:rsidP="0083492A">
      <w:pPr>
        <w:rPr>
          <w:rFonts w:ascii="新宋体" w:eastAsia="新宋体" w:hAnsi="新宋体"/>
          <w:b/>
        </w:rPr>
      </w:pPr>
    </w:p>
    <w:p w:rsidR="0083492A" w:rsidRDefault="0083492A" w:rsidP="0083492A">
      <w:pPr>
        <w:pStyle w:val="3"/>
        <w:rPr>
          <w:rFonts w:ascii="新宋体" w:eastAsia="新宋体" w:hAnsi="新宋体"/>
          <w:kern w:val="44"/>
          <w:szCs w:val="28"/>
        </w:rPr>
      </w:pPr>
      <w:r>
        <w:rPr>
          <w:rFonts w:ascii="新宋体" w:eastAsia="新宋体" w:hAnsi="新宋体" w:hint="eastAsia"/>
          <w:kern w:val="44"/>
          <w:szCs w:val="28"/>
        </w:rPr>
        <w:t>五、项目商务要求</w:t>
      </w:r>
    </w:p>
    <w:p w:rsidR="0083492A" w:rsidRDefault="0083492A" w:rsidP="0083492A">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1年 ，该项目为长期服务项目，合同期限可以延续，但最长不得超过三十六个月 。</w:t>
      </w:r>
    </w:p>
    <w:p w:rsidR="0083492A" w:rsidRDefault="0083492A" w:rsidP="0083492A">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合同签订后30个工作日内，中标人向采购人提供发票后，采购人向中标人支付合同总金额70%的首款；</w:t>
      </w:r>
      <w:r>
        <w:rPr>
          <w:rFonts w:asciiTheme="minorEastAsia" w:eastAsiaTheme="minorEastAsia" w:hAnsiTheme="minorEastAsia" w:cstheme="minorEastAsia" w:hint="eastAsia"/>
          <w:szCs w:val="21"/>
        </w:rPr>
        <w:t>服务期满6个月，完成履约评价后，中标人向采购人提供发票后，</w:t>
      </w:r>
      <w:r>
        <w:rPr>
          <w:rFonts w:ascii="新宋体" w:eastAsia="新宋体" w:hAnsi="新宋体" w:cs="宋体" w:hint="eastAsia"/>
          <w:szCs w:val="21"/>
        </w:rPr>
        <w:t>采购人向中标人支付合同总金额30%的尾款。</w:t>
      </w:r>
    </w:p>
    <w:p w:rsidR="0083492A" w:rsidRDefault="0083492A" w:rsidP="0083492A">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1.质量考核验收标准：达到服务完成期限后，中标人应向采购人提出验收申请、提交相关工作成果及工作报告。</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2.违约金：①因中标人原因，未能按规定时间完成有关工作的，每延误一天，中标人应当承担支付相当于合同总金额的1‰的逾期违约金；逾期超过10天的，采购人有权解除合同，要求中标人返还全部已经收取的费用，并承担支付相当于合同总金额10%违约金的违约责任；前述违约金采购人有权在未付余款的直接扣除。</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②服务期限内，中标人未对采购人的服务需求及时响应或未对故障及时响应并修复的，每发生一次，视为中标人未按照约定履行义务，应当承担相当于合同总金额1‰的违约金，发生三次或三次以上的，视为服务不合格，采购人有权选择解除合同，要求中标人返还全部已经收取的费用并支付相当于合同总金额10%违约金。</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③中标人或中标人的服务团队成员违反保密义务的，需承担相关责任。</w:t>
      </w:r>
    </w:p>
    <w:p w:rsidR="0083492A" w:rsidRDefault="0083492A" w:rsidP="0083492A">
      <w:pPr>
        <w:pStyle w:val="3"/>
        <w:rPr>
          <w:rFonts w:ascii="新宋体" w:eastAsia="新宋体" w:hAnsi="新宋体"/>
          <w:kern w:val="44"/>
          <w:szCs w:val="28"/>
        </w:rPr>
      </w:pPr>
      <w:r>
        <w:rPr>
          <w:rFonts w:ascii="新宋体" w:eastAsia="新宋体" w:hAnsi="新宋体" w:hint="eastAsia"/>
          <w:kern w:val="44"/>
          <w:szCs w:val="28"/>
        </w:rPr>
        <w:t>六、投标报价</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83492A" w:rsidRDefault="0083492A" w:rsidP="0083492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83492A" w:rsidRDefault="0083492A" w:rsidP="0083492A">
      <w:pPr>
        <w:pStyle w:val="a5"/>
        <w:spacing w:beforeLines="25" w:before="78" w:afterLines="25" w:after="78"/>
        <w:ind w:firstLineChars="187" w:firstLine="393"/>
        <w:rPr>
          <w:rFonts w:ascii="新宋体" w:eastAsia="新宋体" w:hAnsi="新宋体"/>
          <w:szCs w:val="21"/>
        </w:rPr>
      </w:pPr>
    </w:p>
    <w:p w:rsidR="00ED6601" w:rsidRPr="0083492A" w:rsidRDefault="00ED6601">
      <w:bookmarkStart w:id="0" w:name="_GoBack"/>
      <w:bookmarkEnd w:id="0"/>
    </w:p>
    <w:sectPr w:rsidR="00ED6601" w:rsidRPr="008349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92A" w:rsidRDefault="0083492A" w:rsidP="0083492A">
      <w:r>
        <w:separator/>
      </w:r>
    </w:p>
  </w:endnote>
  <w:endnote w:type="continuationSeparator" w:id="0">
    <w:p w:rsidR="0083492A" w:rsidRDefault="0083492A" w:rsidP="0083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92A" w:rsidRDefault="0083492A" w:rsidP="0083492A">
      <w:r>
        <w:separator/>
      </w:r>
    </w:p>
  </w:footnote>
  <w:footnote w:type="continuationSeparator" w:id="0">
    <w:p w:rsidR="0083492A" w:rsidRDefault="0083492A" w:rsidP="00834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86A"/>
    <w:rsid w:val="0083492A"/>
    <w:rsid w:val="00CD486A"/>
    <w:rsid w:val="00ED6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92A"/>
    <w:pPr>
      <w:widowControl w:val="0"/>
      <w:jc w:val="both"/>
    </w:pPr>
    <w:rPr>
      <w:rFonts w:ascii="Times New Roman" w:eastAsia="宋体" w:hAnsi="Times New Roman" w:cs="Times New Roman"/>
      <w:szCs w:val="24"/>
    </w:rPr>
  </w:style>
  <w:style w:type="paragraph" w:styleId="3">
    <w:name w:val="heading 3"/>
    <w:basedOn w:val="4"/>
    <w:next w:val="a"/>
    <w:link w:val="3Char1"/>
    <w:qFormat/>
    <w:rsid w:val="0083492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349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49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492A"/>
    <w:rPr>
      <w:sz w:val="18"/>
      <w:szCs w:val="18"/>
    </w:rPr>
  </w:style>
  <w:style w:type="paragraph" w:styleId="a4">
    <w:name w:val="footer"/>
    <w:basedOn w:val="a"/>
    <w:link w:val="Char0"/>
    <w:uiPriority w:val="99"/>
    <w:unhideWhenUsed/>
    <w:rsid w:val="008349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492A"/>
    <w:rPr>
      <w:sz w:val="18"/>
      <w:szCs w:val="18"/>
    </w:rPr>
  </w:style>
  <w:style w:type="character" w:customStyle="1" w:styleId="3Char">
    <w:name w:val="标题 3 Char"/>
    <w:basedOn w:val="a0"/>
    <w:uiPriority w:val="9"/>
    <w:semiHidden/>
    <w:rsid w:val="0083492A"/>
    <w:rPr>
      <w:rFonts w:ascii="Times New Roman" w:eastAsia="宋体" w:hAnsi="Times New Roman" w:cs="Times New Roman"/>
      <w:b/>
      <w:bCs/>
      <w:sz w:val="32"/>
      <w:szCs w:val="32"/>
    </w:rPr>
  </w:style>
  <w:style w:type="paragraph" w:styleId="a5">
    <w:name w:val="Normal Indent"/>
    <w:basedOn w:val="a"/>
    <w:link w:val="Char1"/>
    <w:qFormat/>
    <w:rsid w:val="0083492A"/>
    <w:pPr>
      <w:ind w:firstLine="420"/>
    </w:pPr>
    <w:rPr>
      <w:szCs w:val="20"/>
    </w:rPr>
  </w:style>
  <w:style w:type="character" w:customStyle="1" w:styleId="3Char1">
    <w:name w:val="标题 3 Char1"/>
    <w:link w:val="3"/>
    <w:qFormat/>
    <w:rsid w:val="0083492A"/>
    <w:rPr>
      <w:rFonts w:ascii="宋体" w:eastAsia="宋体" w:hAnsi="宋体" w:cs="Times New Roman"/>
      <w:b/>
      <w:bCs/>
      <w:sz w:val="28"/>
      <w:szCs w:val="32"/>
    </w:rPr>
  </w:style>
  <w:style w:type="character" w:customStyle="1" w:styleId="Char1">
    <w:name w:val="正文缩进 Char"/>
    <w:link w:val="a5"/>
    <w:qFormat/>
    <w:rsid w:val="0083492A"/>
    <w:rPr>
      <w:rFonts w:ascii="Times New Roman" w:eastAsia="宋体" w:hAnsi="Times New Roman" w:cs="Times New Roman"/>
      <w:szCs w:val="20"/>
    </w:rPr>
  </w:style>
  <w:style w:type="character" w:customStyle="1" w:styleId="4Char">
    <w:name w:val="标题 4 Char"/>
    <w:basedOn w:val="a0"/>
    <w:link w:val="4"/>
    <w:uiPriority w:val="9"/>
    <w:semiHidden/>
    <w:rsid w:val="0083492A"/>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92A"/>
    <w:pPr>
      <w:widowControl w:val="0"/>
      <w:jc w:val="both"/>
    </w:pPr>
    <w:rPr>
      <w:rFonts w:ascii="Times New Roman" w:eastAsia="宋体" w:hAnsi="Times New Roman" w:cs="Times New Roman"/>
      <w:szCs w:val="24"/>
    </w:rPr>
  </w:style>
  <w:style w:type="paragraph" w:styleId="3">
    <w:name w:val="heading 3"/>
    <w:basedOn w:val="4"/>
    <w:next w:val="a"/>
    <w:link w:val="3Char1"/>
    <w:qFormat/>
    <w:rsid w:val="0083492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349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49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492A"/>
    <w:rPr>
      <w:sz w:val="18"/>
      <w:szCs w:val="18"/>
    </w:rPr>
  </w:style>
  <w:style w:type="paragraph" w:styleId="a4">
    <w:name w:val="footer"/>
    <w:basedOn w:val="a"/>
    <w:link w:val="Char0"/>
    <w:uiPriority w:val="99"/>
    <w:unhideWhenUsed/>
    <w:rsid w:val="008349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492A"/>
    <w:rPr>
      <w:sz w:val="18"/>
      <w:szCs w:val="18"/>
    </w:rPr>
  </w:style>
  <w:style w:type="character" w:customStyle="1" w:styleId="3Char">
    <w:name w:val="标题 3 Char"/>
    <w:basedOn w:val="a0"/>
    <w:uiPriority w:val="9"/>
    <w:semiHidden/>
    <w:rsid w:val="0083492A"/>
    <w:rPr>
      <w:rFonts w:ascii="Times New Roman" w:eastAsia="宋体" w:hAnsi="Times New Roman" w:cs="Times New Roman"/>
      <w:b/>
      <w:bCs/>
      <w:sz w:val="32"/>
      <w:szCs w:val="32"/>
    </w:rPr>
  </w:style>
  <w:style w:type="paragraph" w:styleId="a5">
    <w:name w:val="Normal Indent"/>
    <w:basedOn w:val="a"/>
    <w:link w:val="Char1"/>
    <w:qFormat/>
    <w:rsid w:val="0083492A"/>
    <w:pPr>
      <w:ind w:firstLine="420"/>
    </w:pPr>
    <w:rPr>
      <w:szCs w:val="20"/>
    </w:rPr>
  </w:style>
  <w:style w:type="character" w:customStyle="1" w:styleId="3Char1">
    <w:name w:val="标题 3 Char1"/>
    <w:link w:val="3"/>
    <w:qFormat/>
    <w:rsid w:val="0083492A"/>
    <w:rPr>
      <w:rFonts w:ascii="宋体" w:eastAsia="宋体" w:hAnsi="宋体" w:cs="Times New Roman"/>
      <w:b/>
      <w:bCs/>
      <w:sz w:val="28"/>
      <w:szCs w:val="32"/>
    </w:rPr>
  </w:style>
  <w:style w:type="character" w:customStyle="1" w:styleId="Char1">
    <w:name w:val="正文缩进 Char"/>
    <w:link w:val="a5"/>
    <w:qFormat/>
    <w:rsid w:val="0083492A"/>
    <w:rPr>
      <w:rFonts w:ascii="Times New Roman" w:eastAsia="宋体" w:hAnsi="Times New Roman" w:cs="Times New Roman"/>
      <w:szCs w:val="20"/>
    </w:rPr>
  </w:style>
  <w:style w:type="character" w:customStyle="1" w:styleId="4Char">
    <w:name w:val="标题 4 Char"/>
    <w:basedOn w:val="a0"/>
    <w:link w:val="4"/>
    <w:uiPriority w:val="9"/>
    <w:semiHidden/>
    <w:rsid w:val="0083492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2024-03-23T13:10:00Z</dcterms:created>
  <dcterms:modified xsi:type="dcterms:W3CDTF">2024-03-23T13:10:00Z</dcterms:modified>
</cp:coreProperties>
</file>