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825418" w14:textId="77777777" w:rsidR="00077723" w:rsidRPr="00077723" w:rsidRDefault="00077723" w:rsidP="00077723">
      <w:pPr>
        <w:keepNext/>
        <w:keepLines/>
        <w:spacing w:before="260" w:after="260"/>
        <w:outlineLvl w:val="2"/>
        <w:rPr>
          <w:rFonts w:ascii="新宋体" w:eastAsia="新宋体" w:hAnsi="新宋体"/>
          <w:b/>
          <w:bCs/>
          <w:kern w:val="44"/>
          <w:sz w:val="28"/>
          <w:szCs w:val="28"/>
        </w:rPr>
      </w:pPr>
      <w:r w:rsidRPr="00077723">
        <w:rPr>
          <w:rFonts w:ascii="新宋体" w:eastAsia="新宋体" w:hAnsi="新宋体" w:hint="eastAsia"/>
          <w:b/>
          <w:bCs/>
          <w:kern w:val="44"/>
          <w:sz w:val="28"/>
          <w:szCs w:val="28"/>
        </w:rPr>
        <w:t>三、项目概况</w:t>
      </w:r>
    </w:p>
    <w:p w14:paraId="01E11B34"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（一）</w:t>
      </w:r>
      <w:r w:rsidRPr="00077723">
        <w:rPr>
          <w:rFonts w:ascii="新宋体" w:eastAsia="新宋体" w:hAnsi="新宋体" w:cs="宋体"/>
          <w:szCs w:val="21"/>
        </w:rPr>
        <w:t>预算</w:t>
      </w:r>
      <w:r w:rsidRPr="00077723">
        <w:rPr>
          <w:rFonts w:ascii="新宋体" w:eastAsia="新宋体" w:hAnsi="新宋体" w:cs="宋体" w:hint="eastAsia"/>
          <w:szCs w:val="21"/>
        </w:rPr>
        <w:t>金额: 人民币柒拾壹万柒仟柒佰伍拾元（717,750.00），</w:t>
      </w:r>
      <w:r w:rsidRPr="00077723">
        <w:rPr>
          <w:rFonts w:ascii="新宋体" w:eastAsia="新宋体" w:hAnsi="新宋体" w:cs="宋体"/>
          <w:szCs w:val="21"/>
        </w:rPr>
        <w:t>最高投标限价</w:t>
      </w:r>
      <w:r w:rsidRPr="00077723">
        <w:rPr>
          <w:rFonts w:ascii="新宋体" w:eastAsia="新宋体" w:hAnsi="新宋体" w:cs="宋体" w:hint="eastAsia"/>
          <w:szCs w:val="21"/>
        </w:rPr>
        <w:t>:</w:t>
      </w:r>
      <w:r w:rsidRPr="00077723">
        <w:rPr>
          <w:rFonts w:hint="eastAsia"/>
        </w:rPr>
        <w:t xml:space="preserve"> </w:t>
      </w:r>
      <w:r w:rsidRPr="00077723">
        <w:rPr>
          <w:rFonts w:ascii="新宋体" w:eastAsia="新宋体" w:hAnsi="新宋体" w:cs="宋体" w:hint="eastAsia"/>
          <w:szCs w:val="21"/>
        </w:rPr>
        <w:t>人民币柒拾壹万柒仟柒佰伍拾元（717,750.00）</w:t>
      </w:r>
    </w:p>
    <w:p w14:paraId="33DD3E62"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 xml:space="preserve">（二）项目概况: </w:t>
      </w:r>
    </w:p>
    <w:p w14:paraId="49AEFAB0" w14:textId="77777777" w:rsidR="00077723" w:rsidRPr="00077723" w:rsidRDefault="00077723" w:rsidP="00077723">
      <w:pPr>
        <w:spacing w:line="360" w:lineRule="auto"/>
        <w:ind w:firstLineChars="202" w:firstLine="424"/>
        <w:rPr>
          <w:rFonts w:ascii="新宋体" w:eastAsia="新宋体" w:hAnsi="新宋体" w:cs="宋体"/>
          <w:szCs w:val="21"/>
        </w:rPr>
      </w:pPr>
      <w:r w:rsidRPr="00077723">
        <w:rPr>
          <w:rFonts w:ascii="新宋体" w:eastAsia="新宋体" w:hAnsi="新宋体" w:cs="宋体" w:hint="eastAsia"/>
          <w:szCs w:val="21"/>
        </w:rPr>
        <w:t>深圳市社会福利服务指导中心是一所集孤残儿童和“三无”成年人员养育安置、养老服务、医疗康复，以及为市民政局机关提供支持保障职能于一体的市级综合性社会福利机构，位于深圳市龙华区观澜街道观光路1340号。为深化“放管服”改革，建立健全养老服务综合监管制度，引导和激励养老服务机构诚信守法经营、持续优化服务，更好适应养老服务高质量发展要求，更好满足人民群众日益增长的养老服务需求，现拟开展2024年养老服务机构综合监督评估项目。本项目预算金额71.775万元，主要服务内容为养老机构服务安全基本规范达标检查、社区养老服务机构服务质量评价、养老</w:t>
      </w:r>
      <w:proofErr w:type="gramStart"/>
      <w:r w:rsidRPr="00077723">
        <w:rPr>
          <w:rFonts w:ascii="新宋体" w:eastAsia="新宋体" w:hAnsi="新宋体" w:cs="宋体" w:hint="eastAsia"/>
          <w:szCs w:val="21"/>
        </w:rPr>
        <w:t>机构消防</w:t>
      </w:r>
      <w:proofErr w:type="gramEnd"/>
      <w:r w:rsidRPr="00077723">
        <w:rPr>
          <w:rFonts w:ascii="新宋体" w:eastAsia="新宋体" w:hAnsi="新宋体" w:cs="宋体" w:hint="eastAsia"/>
          <w:szCs w:val="21"/>
        </w:rPr>
        <w:t>安全检查、养老机构信用信息监测、防范非法集资和防诈骗宣传教育等综合监管事项。</w:t>
      </w:r>
    </w:p>
    <w:p w14:paraId="58D40E8C"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（三）项目目标：</w:t>
      </w:r>
    </w:p>
    <w:p w14:paraId="5A3EFE2E" w14:textId="77777777" w:rsidR="00077723" w:rsidRPr="00077723" w:rsidRDefault="00077723" w:rsidP="00077723">
      <w:pPr>
        <w:spacing w:line="360" w:lineRule="auto"/>
        <w:ind w:firstLineChars="202" w:firstLine="424"/>
        <w:rPr>
          <w:rFonts w:ascii="新宋体" w:eastAsia="新宋体" w:hAnsi="新宋体"/>
          <w:b/>
          <w:bCs/>
          <w:szCs w:val="21"/>
        </w:rPr>
      </w:pPr>
      <w:r w:rsidRPr="00077723">
        <w:rPr>
          <w:rFonts w:ascii="新宋体" w:eastAsia="新宋体" w:hAnsi="新宋体" w:cs="宋体" w:hint="eastAsia"/>
          <w:szCs w:val="21"/>
        </w:rPr>
        <w:t>进一步深化“放管服”改革，建立健全全市养老服务综合监管制度，引导和激励养老服务机构诚信守法经营，持续优化服务质量，建立我市养老服务机构服务安全、质量安全、消防安全、机构和人员信用安全、防范非法集资和防诈骗宣传教育等方面常态化监管机制，发挥深圳养老服务的引领示范作用，更好地适应养老服务高质量发展的要求。</w:t>
      </w:r>
    </w:p>
    <w:p w14:paraId="3DAA0513" w14:textId="77777777" w:rsidR="00077723" w:rsidRPr="00077723" w:rsidRDefault="00077723" w:rsidP="00077723">
      <w:pPr>
        <w:keepNext/>
        <w:keepLines/>
        <w:spacing w:before="260" w:after="260"/>
        <w:outlineLvl w:val="2"/>
        <w:rPr>
          <w:rFonts w:ascii="新宋体" w:eastAsia="新宋体" w:hAnsi="新宋体"/>
          <w:b/>
          <w:bCs/>
          <w:kern w:val="44"/>
          <w:sz w:val="28"/>
          <w:szCs w:val="28"/>
        </w:rPr>
      </w:pPr>
      <w:r w:rsidRPr="00077723">
        <w:rPr>
          <w:rFonts w:ascii="新宋体" w:eastAsia="新宋体" w:hAnsi="新宋体" w:hint="eastAsia"/>
          <w:b/>
          <w:bCs/>
          <w:kern w:val="44"/>
          <w:sz w:val="28"/>
          <w:szCs w:val="28"/>
        </w:rPr>
        <w:t>四、项目技术要求</w:t>
      </w:r>
    </w:p>
    <w:p w14:paraId="3E9185FD" w14:textId="77777777" w:rsidR="00077723" w:rsidRPr="00077723" w:rsidRDefault="00077723" w:rsidP="00077723">
      <w:pPr>
        <w:spacing w:line="360" w:lineRule="auto"/>
        <w:rPr>
          <w:rFonts w:ascii="新宋体" w:eastAsia="新宋体" w:hAnsi="新宋体" w:cs="宋体"/>
          <w:b/>
          <w:bCs/>
          <w:szCs w:val="21"/>
        </w:rPr>
      </w:pPr>
      <w:r w:rsidRPr="00077723">
        <w:rPr>
          <w:rFonts w:ascii="新宋体" w:eastAsia="新宋体" w:hAnsi="新宋体" w:cs="宋体" w:hint="eastAsia"/>
          <w:b/>
          <w:bCs/>
          <w:szCs w:val="21"/>
        </w:rPr>
        <w:t>（一）总体要求</w:t>
      </w:r>
    </w:p>
    <w:p w14:paraId="6FCE1DD0" w14:textId="77777777" w:rsidR="00077723" w:rsidRPr="00077723" w:rsidRDefault="00077723" w:rsidP="00077723">
      <w:pPr>
        <w:spacing w:line="360" w:lineRule="auto"/>
        <w:ind w:firstLineChars="200" w:firstLine="420"/>
        <w:rPr>
          <w:rFonts w:ascii="新宋体" w:eastAsia="新宋体" w:hAnsi="新宋体" w:cs="宋体"/>
          <w:szCs w:val="21"/>
        </w:rPr>
      </w:pPr>
      <w:r w:rsidRPr="00077723">
        <w:rPr>
          <w:rFonts w:ascii="新宋体" w:eastAsia="新宋体" w:hAnsi="新宋体" w:cs="宋体" w:hint="eastAsia"/>
          <w:szCs w:val="21"/>
        </w:rPr>
        <w:t>2024年养老服务机构综合监督评估项目服务内容主要包括养老机构服务安全基本规范达标检查、社区养老服务机构服务质量评价、养老</w:t>
      </w:r>
      <w:proofErr w:type="gramStart"/>
      <w:r w:rsidRPr="00077723">
        <w:rPr>
          <w:rFonts w:ascii="新宋体" w:eastAsia="新宋体" w:hAnsi="新宋体" w:cs="宋体" w:hint="eastAsia"/>
          <w:szCs w:val="21"/>
        </w:rPr>
        <w:t>机构消防</w:t>
      </w:r>
      <w:proofErr w:type="gramEnd"/>
      <w:r w:rsidRPr="00077723">
        <w:rPr>
          <w:rFonts w:ascii="新宋体" w:eastAsia="新宋体" w:hAnsi="新宋体" w:cs="宋体" w:hint="eastAsia"/>
          <w:szCs w:val="21"/>
        </w:rPr>
        <w:t>安全等检查、养老机构信用信息监测、防范非法集资和防诈骗宣传教育等。</w:t>
      </w:r>
    </w:p>
    <w:p w14:paraId="515AABC6" w14:textId="77777777" w:rsidR="00077723" w:rsidRPr="00077723" w:rsidRDefault="00077723" w:rsidP="00077723">
      <w:pPr>
        <w:spacing w:line="360" w:lineRule="auto"/>
        <w:ind w:firstLineChars="200" w:firstLine="420"/>
        <w:rPr>
          <w:rFonts w:ascii="新宋体" w:eastAsia="新宋体" w:hAnsi="新宋体" w:cs="宋体"/>
          <w:szCs w:val="21"/>
        </w:rPr>
      </w:pPr>
      <w:r w:rsidRPr="00077723">
        <w:rPr>
          <w:rFonts w:ascii="新宋体" w:eastAsia="新宋体" w:hAnsi="新宋体" w:cs="宋体" w:hint="eastAsia"/>
          <w:szCs w:val="21"/>
        </w:rPr>
        <w:t>建立养老服务综合监管机制是养老服务领域持续深化“放管服”改革的重要举措，对规范引导养老机构合</w:t>
      </w:r>
      <w:proofErr w:type="gramStart"/>
      <w:r w:rsidRPr="00077723">
        <w:rPr>
          <w:rFonts w:ascii="新宋体" w:eastAsia="新宋体" w:hAnsi="新宋体" w:cs="宋体" w:hint="eastAsia"/>
          <w:szCs w:val="21"/>
        </w:rPr>
        <w:t>规</w:t>
      </w:r>
      <w:proofErr w:type="gramEnd"/>
      <w:r w:rsidRPr="00077723">
        <w:rPr>
          <w:rFonts w:ascii="新宋体" w:eastAsia="新宋体" w:hAnsi="新宋体" w:cs="宋体" w:hint="eastAsia"/>
          <w:szCs w:val="21"/>
        </w:rPr>
        <w:t>运营、及时发现养老机构违法违规风险隐患发挥重要作用。项目拟整合养老服务行业专家、统筹养老服务行业资源，组织对深圳市养老服务行业的发展现状有充分了解和深刻认识的专业力量，围绕目前深圳市养老服务行业监管难题，按照《养老机构行政检查办法》（民发〔2022〕86号）要求，对养老服务机构采用现场检查和非现场检查（书面</w:t>
      </w:r>
      <w:r w:rsidRPr="00077723">
        <w:rPr>
          <w:rFonts w:ascii="新宋体" w:eastAsia="新宋体" w:hAnsi="新宋体" w:cs="宋体" w:hint="eastAsia"/>
          <w:szCs w:val="21"/>
        </w:rPr>
        <w:lastRenderedPageBreak/>
        <w:t>检查、在线视频检查等）的方式开展日常检查、专项检查和个案检查等。通过项目实施，协助采购人建立起深圳市养老服务机构服务安全、质量安全、消防安全、机构和人员信用安全、防范非法集资和防诈骗宣传教育等方面的日常监管机制，推进全市养老服务机构综合监管制度化、常态化。</w:t>
      </w:r>
    </w:p>
    <w:p w14:paraId="1E7CA479" w14:textId="77777777" w:rsidR="00077723" w:rsidRPr="00077723" w:rsidRDefault="00077723" w:rsidP="00077723">
      <w:pPr>
        <w:spacing w:line="360" w:lineRule="auto"/>
        <w:rPr>
          <w:rFonts w:ascii="新宋体" w:eastAsia="新宋体" w:hAnsi="新宋体" w:cs="宋体"/>
          <w:b/>
          <w:bCs/>
          <w:szCs w:val="21"/>
        </w:rPr>
      </w:pPr>
      <w:r w:rsidRPr="00077723">
        <w:rPr>
          <w:rFonts w:ascii="新宋体" w:eastAsia="新宋体" w:hAnsi="新宋体" w:cs="宋体" w:hint="eastAsia"/>
          <w:b/>
          <w:bCs/>
          <w:szCs w:val="21"/>
        </w:rPr>
        <w:t>（二）服务要求</w:t>
      </w:r>
    </w:p>
    <w:p w14:paraId="2EBE6BC2"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1.养老机构服务安全基本规范达标检查</w:t>
      </w:r>
    </w:p>
    <w:p w14:paraId="5A38B4FC"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1）依据《养老机构服务安全基本规范》（GB38600-2019）要求，编制养老机构服务安全检查项目方案，包括检查方式、检查团队人员、工作步骤以及时间安排等，项目方案具备可操作性与针对性，确保检查工作的公平公正。</w:t>
      </w:r>
    </w:p>
    <w:p w14:paraId="4C841AA3"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（2）对全市养老机构（不少于47家，具体由采购人根据实际情况确定）贯彻落实《养老机构服务安全基本规范》（GB38600-2019）情况进行1次现场检查，指导建立健全养老机构服务安全相关制度、规定等。</w:t>
      </w:r>
    </w:p>
    <w:p w14:paraId="02FEB90F"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（3）编制全市养老机构服务安全基本规范达标检查表，定期向采购人汇报项目进展情况和养老机构服务安全现状的基础数据（内容包含但不限于已检查的养老机构的达标情况、未达标情况、整改意见等）。</w:t>
      </w:r>
    </w:p>
    <w:p w14:paraId="010E1FC3"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（4）项目完成后，对全市养老机构服务安全基本规范达标状况和下一步整改措施进行汇总分析，并向采购人递交相应的总结报告。</w:t>
      </w:r>
    </w:p>
    <w:p w14:paraId="15E52EDF"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（5）中标人开展本项检查人员（专家或专业技术人员）不少于4人，项目检查人员应为行业</w:t>
      </w:r>
      <w:proofErr w:type="gramStart"/>
      <w:r w:rsidRPr="00077723">
        <w:rPr>
          <w:rFonts w:ascii="新宋体" w:eastAsia="新宋体" w:hAnsi="新宋体" w:cs="宋体" w:hint="eastAsia"/>
          <w:szCs w:val="21"/>
        </w:rPr>
        <w:t>内经验</w:t>
      </w:r>
      <w:proofErr w:type="gramEnd"/>
      <w:r w:rsidRPr="00077723">
        <w:rPr>
          <w:rFonts w:ascii="新宋体" w:eastAsia="新宋体" w:hAnsi="新宋体" w:cs="宋体" w:hint="eastAsia"/>
          <w:szCs w:val="21"/>
        </w:rPr>
        <w:t>丰富的从业人员，包括但不限于具有三年以上养老服务行业从业经历的一线照护服务人员、养老服务行业管理人员、养老机构管理人员、医疗护理人员、养老服务实务研究人员、安全工程师。</w:t>
      </w:r>
    </w:p>
    <w:p w14:paraId="1443DFE0"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2.社区养老服务机构服务质量评价</w:t>
      </w:r>
    </w:p>
    <w:p w14:paraId="0AF043F0"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（1）依据《社区养老服务质量评价规范》（DB4403/T 69-2020）要求，对深圳市行政区域内参评和复评的社区养老服务机构（不少于40家，具体由采购人根据实际情况确定）进行实地检查，提出标准化、专业化发展意见，对机构的服务质量和基础设施的不足进行指导改进，并向采购人提交评价报告。</w:t>
      </w:r>
    </w:p>
    <w:p w14:paraId="3E6B16A0"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（2）评价活动完成后，对参评和复评社区养老服务机构的质量状况进行汇总，并向采购人递交质量分析报告。</w:t>
      </w:r>
    </w:p>
    <w:p w14:paraId="2D4FCC41"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（3）中标人开展本项评价人员不少于5人，其中具有五年以上养老服务行业从业经历的一线照护服务人员、养老服务行业管理人员和中级职称以上财务会计人员各不少于1人。</w:t>
      </w:r>
    </w:p>
    <w:p w14:paraId="695B9448"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lastRenderedPageBreak/>
        <w:t>3.养老</w:t>
      </w:r>
      <w:proofErr w:type="gramStart"/>
      <w:r w:rsidRPr="00077723">
        <w:rPr>
          <w:rFonts w:ascii="新宋体" w:eastAsia="新宋体" w:hAnsi="新宋体" w:cs="宋体" w:hint="eastAsia"/>
          <w:szCs w:val="21"/>
        </w:rPr>
        <w:t>机构消防</w:t>
      </w:r>
      <w:proofErr w:type="gramEnd"/>
      <w:r w:rsidRPr="00077723">
        <w:rPr>
          <w:rFonts w:ascii="新宋体" w:eastAsia="新宋体" w:hAnsi="新宋体" w:cs="宋体" w:hint="eastAsia"/>
          <w:szCs w:val="21"/>
        </w:rPr>
        <w:t>安全检查</w:t>
      </w:r>
    </w:p>
    <w:p w14:paraId="7954709C"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（1）依据《养老机构消防安全管理规定》（民发〔2023〕37号）等文件要求，编制养老</w:t>
      </w:r>
      <w:proofErr w:type="gramStart"/>
      <w:r w:rsidRPr="00077723">
        <w:rPr>
          <w:rFonts w:ascii="新宋体" w:eastAsia="新宋体" w:hAnsi="新宋体" w:cs="宋体" w:hint="eastAsia"/>
          <w:szCs w:val="21"/>
        </w:rPr>
        <w:t>机构消防</w:t>
      </w:r>
      <w:proofErr w:type="gramEnd"/>
      <w:r w:rsidRPr="00077723">
        <w:rPr>
          <w:rFonts w:ascii="新宋体" w:eastAsia="新宋体" w:hAnsi="新宋体" w:cs="宋体" w:hint="eastAsia"/>
          <w:szCs w:val="21"/>
        </w:rPr>
        <w:t>安全检查对照表，对全市养老机构（不少于47家，具体由采购人根据实际情况确定）进行2轮现场检查。</w:t>
      </w:r>
    </w:p>
    <w:p w14:paraId="37710470"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（2）现场检查后及时向机构反馈问题和不足，指导机构进行整改，定期向采购人汇报项目进展情况。</w:t>
      </w:r>
    </w:p>
    <w:p w14:paraId="05C40898"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（3）项目完成后，对养老机构的消防安全情况进行汇总分析，并向采购人提交检查报告。</w:t>
      </w:r>
    </w:p>
    <w:p w14:paraId="4C8A62C5"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（4）中标人开展消防安全检查人员不少于4人，其中项目专职人员不少于1人、行业</w:t>
      </w:r>
      <w:proofErr w:type="gramStart"/>
      <w:r w:rsidRPr="00077723">
        <w:rPr>
          <w:rFonts w:ascii="新宋体" w:eastAsia="新宋体" w:hAnsi="新宋体" w:cs="宋体" w:hint="eastAsia"/>
          <w:szCs w:val="21"/>
        </w:rPr>
        <w:t>内经验</w:t>
      </w:r>
      <w:proofErr w:type="gramEnd"/>
      <w:r w:rsidRPr="00077723">
        <w:rPr>
          <w:rFonts w:ascii="新宋体" w:eastAsia="新宋体" w:hAnsi="新宋体" w:cs="宋体" w:hint="eastAsia"/>
          <w:szCs w:val="21"/>
        </w:rPr>
        <w:t>丰富的从业人员（包括但不限于具有三年以上养老服务行业从业经历的一线照护服务人员、行业管理人员、机构管理人员等）不少于1人、安全工程师不少于2人。</w:t>
      </w:r>
    </w:p>
    <w:p w14:paraId="73FBF834"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4.养老机构信用信息监测</w:t>
      </w:r>
    </w:p>
    <w:p w14:paraId="246DDE86"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（1）依据《养老机构信用信息监测规范》（DB4403/T 301-2022）要求，建立健全养老机构信用信息监测的相关信息数据库，对全市所有养老机构及从业人员包括基本信息、失信信息、增</w:t>
      </w:r>
      <w:proofErr w:type="gramStart"/>
      <w:r w:rsidRPr="00077723">
        <w:rPr>
          <w:rFonts w:ascii="新宋体" w:eastAsia="新宋体" w:hAnsi="新宋体" w:cs="宋体" w:hint="eastAsia"/>
          <w:szCs w:val="21"/>
        </w:rPr>
        <w:t>信信息</w:t>
      </w:r>
      <w:proofErr w:type="gramEnd"/>
      <w:r w:rsidRPr="00077723">
        <w:rPr>
          <w:rFonts w:ascii="新宋体" w:eastAsia="新宋体" w:hAnsi="新宋体" w:cs="宋体" w:hint="eastAsia"/>
          <w:szCs w:val="21"/>
        </w:rPr>
        <w:t>等进行全面核查、监测，记录监测结果，核实分析信息真实性后形成监测报告，及时向采购人提交月度和年度信用信息监测报告。</w:t>
      </w:r>
    </w:p>
    <w:p w14:paraId="25FE896E"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2）对全市所有养老机构开展日常监测，对养老机构或其从业人员在日常工作中发生信用信息异常行为并被行政部门、法院或检察院等部门通报、新闻媒体曝光的，及时记录信用信息监测结果，登记台账，按月向采购人汇报。</w:t>
      </w:r>
    </w:p>
    <w:p w14:paraId="30EB1721"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（3）设立热线电话或公众号反馈端口，配备专人负责信用信息监测工作相关问题的咨询和指导，并记录各方对监督评估工作提出的意见和建议。</w:t>
      </w:r>
    </w:p>
    <w:p w14:paraId="45E3227B"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（4）协助采购人核实、处理养老机构信用异常情况，并做好相应记录。</w:t>
      </w:r>
    </w:p>
    <w:p w14:paraId="35AEAC30"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5）中标人配备不少于2人开展信用信息监测工作，监测人员应具有本科以上学历且2年以上养老服务行业从业经历，或专科学历且在养老服务行业具有5年以上从业经历；熟悉信用信息相关业务知识，具有良好的信用记录。</w:t>
      </w:r>
    </w:p>
    <w:p w14:paraId="09108FAC"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5.防范非法集资和防诈骗宣传教育</w:t>
      </w:r>
      <w:r w:rsidRPr="00077723">
        <w:rPr>
          <w:rFonts w:ascii="新宋体" w:eastAsia="新宋体" w:hAnsi="新宋体" w:cs="宋体" w:hint="eastAsia"/>
          <w:szCs w:val="21"/>
        </w:rPr>
        <w:br/>
        <w:t>（1）依据国家、省、市防范非法集资有关规定要求，针对养老机构负责人、入住机构的老年人或家属代表等，开展不少于1场防范非法集资和防诈骗宣传活动，提醒养老机构从业人员规范服务，提高服务对象的</w:t>
      </w:r>
      <w:proofErr w:type="gramStart"/>
      <w:r w:rsidRPr="00077723">
        <w:rPr>
          <w:rFonts w:ascii="新宋体" w:eastAsia="新宋体" w:hAnsi="新宋体" w:cs="宋体" w:hint="eastAsia"/>
          <w:szCs w:val="21"/>
        </w:rPr>
        <w:t>识诈防</w:t>
      </w:r>
      <w:proofErr w:type="gramEnd"/>
      <w:r w:rsidRPr="00077723">
        <w:rPr>
          <w:rFonts w:ascii="新宋体" w:eastAsia="新宋体" w:hAnsi="新宋体" w:cs="宋体" w:hint="eastAsia"/>
          <w:szCs w:val="21"/>
        </w:rPr>
        <w:t>诈能力。</w:t>
      </w:r>
      <w:r w:rsidRPr="00077723">
        <w:rPr>
          <w:rFonts w:ascii="新宋体" w:eastAsia="新宋体" w:hAnsi="新宋体" w:cs="宋体" w:hint="eastAsia"/>
          <w:szCs w:val="21"/>
        </w:rPr>
        <w:br/>
        <w:t>（2）协助开展防范养老机构非法集资和防诈骗日常监督工作，收集记录老年人、家属及社会公众对养老机构从事非法金融活动的投诉举报信息。</w:t>
      </w:r>
      <w:r w:rsidRPr="00077723">
        <w:rPr>
          <w:rFonts w:ascii="新宋体" w:eastAsia="新宋体" w:hAnsi="新宋体" w:cs="宋体" w:hint="eastAsia"/>
          <w:szCs w:val="21"/>
        </w:rPr>
        <w:br/>
      </w:r>
      <w:r w:rsidRPr="00077723">
        <w:rPr>
          <w:rFonts w:ascii="新宋体" w:eastAsia="新宋体" w:hAnsi="新宋体" w:cs="宋体" w:hint="eastAsia"/>
          <w:szCs w:val="21"/>
        </w:rPr>
        <w:lastRenderedPageBreak/>
        <w:t>（3）设计防范非法集资和防诈骗告知书模板，并对养老机构入住的老年人按7%比例进行抽检访问，形成调查回访表。</w:t>
      </w:r>
      <w:r w:rsidRPr="00077723">
        <w:rPr>
          <w:rFonts w:ascii="新宋体" w:eastAsia="新宋体" w:hAnsi="新宋体" w:cs="宋体" w:hint="eastAsia"/>
          <w:szCs w:val="21"/>
        </w:rPr>
        <w:br/>
        <w:t>（4）采购人要求的其他防范非法集资和防诈骗事项。</w:t>
      </w:r>
    </w:p>
    <w:p w14:paraId="5B6471FB"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6.其他</w:t>
      </w:r>
    </w:p>
    <w:p w14:paraId="37758260"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根据采购人其他检查需求，安排人员对养老机构进行全年累计不少于20家（次）的随机抽查；协助采购人做好养老服务机构其他日常监督评估工作，并提出合理化意见建议。</w:t>
      </w:r>
    </w:p>
    <w:p w14:paraId="32176EB3" w14:textId="77777777" w:rsidR="00077723" w:rsidRPr="00077723" w:rsidRDefault="00077723" w:rsidP="00077723">
      <w:pPr>
        <w:rPr>
          <w:rFonts w:ascii="新宋体" w:eastAsia="新宋体" w:hAnsi="新宋体"/>
          <w:b/>
        </w:rPr>
      </w:pPr>
    </w:p>
    <w:p w14:paraId="47FE89FD" w14:textId="77777777" w:rsidR="00077723" w:rsidRPr="00077723" w:rsidRDefault="00077723" w:rsidP="00077723">
      <w:pPr>
        <w:keepNext/>
        <w:keepLines/>
        <w:spacing w:before="260" w:after="260"/>
        <w:outlineLvl w:val="2"/>
        <w:rPr>
          <w:rFonts w:ascii="新宋体" w:eastAsia="新宋体" w:hAnsi="新宋体"/>
          <w:b/>
          <w:bCs/>
          <w:kern w:val="44"/>
          <w:sz w:val="28"/>
          <w:szCs w:val="28"/>
        </w:rPr>
      </w:pPr>
      <w:r w:rsidRPr="00077723">
        <w:rPr>
          <w:rFonts w:ascii="新宋体" w:eastAsia="新宋体" w:hAnsi="新宋体" w:hint="eastAsia"/>
          <w:b/>
          <w:bCs/>
          <w:kern w:val="44"/>
          <w:sz w:val="28"/>
          <w:szCs w:val="28"/>
        </w:rPr>
        <w:t>五、项目商务要求</w:t>
      </w:r>
    </w:p>
    <w:p w14:paraId="0B009B43" w14:textId="77777777" w:rsidR="00077723" w:rsidRPr="00077723" w:rsidRDefault="00077723" w:rsidP="00077723">
      <w:pPr>
        <w:spacing w:line="360" w:lineRule="auto"/>
        <w:rPr>
          <w:rFonts w:ascii="新宋体" w:eastAsia="新宋体" w:hAnsi="新宋体" w:cs="宋体"/>
          <w:b/>
          <w:bCs/>
          <w:szCs w:val="21"/>
        </w:rPr>
      </w:pPr>
      <w:r w:rsidRPr="00077723">
        <w:rPr>
          <w:rFonts w:ascii="新宋体" w:eastAsia="新宋体" w:hAnsi="新宋体" w:cs="宋体" w:hint="eastAsia"/>
          <w:b/>
          <w:bCs/>
          <w:szCs w:val="21"/>
        </w:rPr>
        <w:t>（一）服务期限</w:t>
      </w:r>
    </w:p>
    <w:p w14:paraId="3150FF7B"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自合同签订之日起至2024年12月20日前完成。</w:t>
      </w:r>
    </w:p>
    <w:p w14:paraId="0B65D69F" w14:textId="77777777" w:rsidR="00077723" w:rsidRPr="00077723" w:rsidRDefault="00077723" w:rsidP="00077723">
      <w:pPr>
        <w:spacing w:line="360" w:lineRule="auto"/>
        <w:rPr>
          <w:rFonts w:ascii="新宋体" w:eastAsia="新宋体" w:hAnsi="新宋体" w:cs="宋体"/>
          <w:b/>
          <w:szCs w:val="21"/>
        </w:rPr>
      </w:pPr>
      <w:r w:rsidRPr="00077723">
        <w:rPr>
          <w:rFonts w:ascii="新宋体" w:eastAsia="新宋体" w:hAnsi="新宋体" w:cs="宋体" w:hint="eastAsia"/>
          <w:b/>
          <w:szCs w:val="21"/>
        </w:rPr>
        <w:t>（二）服务地点</w:t>
      </w:r>
    </w:p>
    <w:p w14:paraId="5CE7496F"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深圳市行政区域内养老服务机构（机构数量以采购人委托为准）。</w:t>
      </w:r>
    </w:p>
    <w:p w14:paraId="2FF8FF97" w14:textId="77777777" w:rsidR="00077723" w:rsidRPr="00077723" w:rsidRDefault="00077723" w:rsidP="00077723">
      <w:pPr>
        <w:spacing w:line="360" w:lineRule="auto"/>
        <w:rPr>
          <w:rFonts w:ascii="新宋体" w:eastAsia="新宋体" w:hAnsi="新宋体" w:cs="宋体"/>
          <w:b/>
          <w:bCs/>
          <w:szCs w:val="21"/>
        </w:rPr>
      </w:pPr>
      <w:r w:rsidRPr="00077723">
        <w:rPr>
          <w:rFonts w:ascii="新宋体" w:eastAsia="新宋体" w:hAnsi="新宋体" w:cs="宋体" w:hint="eastAsia"/>
          <w:b/>
          <w:bCs/>
          <w:szCs w:val="21"/>
        </w:rPr>
        <w:t>（三）付款方式</w:t>
      </w:r>
    </w:p>
    <w:p w14:paraId="7E721CA4"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本项目服务费用上限为人民币71.775万元，该费用包含合同实施过程中应预见和不可预见费用。合同签订后且收到中标人开具的真实合法有效的等额税务发票后十个工作日内，采购人支付中标金额50%的合同款作为项目启动资金；完成相应工作量（达标检查不少于35家养老机构；消防安全等检查不少于60家&lt;次&gt;养老机构；提交上半年养老机构信用信息监测报告；举办一场线下防范非法集资和防诈骗宣传活动；按月登记监管工作台</w:t>
      </w:r>
      <w:proofErr w:type="gramStart"/>
      <w:r w:rsidRPr="00077723">
        <w:rPr>
          <w:rFonts w:ascii="新宋体" w:eastAsia="新宋体" w:hAnsi="新宋体" w:cs="宋体" w:hint="eastAsia"/>
          <w:szCs w:val="21"/>
        </w:rPr>
        <w:t>账</w:t>
      </w:r>
      <w:proofErr w:type="gramEnd"/>
      <w:r w:rsidRPr="00077723">
        <w:rPr>
          <w:rFonts w:ascii="新宋体" w:eastAsia="新宋体" w:hAnsi="新宋体" w:cs="宋体" w:hint="eastAsia"/>
          <w:szCs w:val="21"/>
        </w:rPr>
        <w:t>），无违约情形，采购人收到中标人开具的真实合法有效的等额税务发票后十个工作日内支付中标金额40％的中期款；完成所有委托事项并通过验收，采购人在收到中标人开具的真实合法有效的等额税务发票十个工作日内支付剩余的10％尾款。</w:t>
      </w:r>
    </w:p>
    <w:p w14:paraId="7AC1C925" w14:textId="77777777" w:rsidR="00077723" w:rsidRPr="00077723" w:rsidRDefault="00077723" w:rsidP="00077723">
      <w:pPr>
        <w:spacing w:line="360" w:lineRule="auto"/>
        <w:rPr>
          <w:rFonts w:ascii="新宋体" w:eastAsia="新宋体" w:hAnsi="新宋体" w:cs="宋体"/>
          <w:b/>
          <w:bCs/>
          <w:szCs w:val="21"/>
        </w:rPr>
      </w:pPr>
      <w:r w:rsidRPr="00077723">
        <w:rPr>
          <w:rFonts w:ascii="新宋体" w:eastAsia="新宋体" w:hAnsi="新宋体" w:cs="宋体" w:hint="eastAsia"/>
          <w:b/>
          <w:bCs/>
          <w:szCs w:val="21"/>
        </w:rPr>
        <w:t>（五）验收要求</w:t>
      </w:r>
    </w:p>
    <w:p w14:paraId="774E7D29"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中标人已按照合同规定提供了全部技术资料，服务项目符合招标文件的服务要求，经过双方检验确认后，签署验收报告。</w:t>
      </w:r>
    </w:p>
    <w:p w14:paraId="19247D51" w14:textId="77777777" w:rsidR="00077723" w:rsidRPr="00077723" w:rsidRDefault="00077723" w:rsidP="00077723">
      <w:pPr>
        <w:spacing w:line="360" w:lineRule="auto"/>
        <w:rPr>
          <w:rFonts w:ascii="新宋体" w:eastAsia="新宋体" w:hAnsi="新宋体" w:cs="宋体"/>
          <w:b/>
          <w:bCs/>
          <w:szCs w:val="21"/>
        </w:rPr>
      </w:pPr>
      <w:r w:rsidRPr="00077723">
        <w:rPr>
          <w:rFonts w:ascii="新宋体" w:eastAsia="新宋体" w:hAnsi="新宋体" w:cs="宋体" w:hint="eastAsia"/>
          <w:b/>
          <w:bCs/>
          <w:szCs w:val="21"/>
        </w:rPr>
        <w:t>（六）其他要求</w:t>
      </w:r>
    </w:p>
    <w:p w14:paraId="27E843CD" w14:textId="77777777" w:rsidR="00077723" w:rsidRPr="00077723" w:rsidRDefault="00077723" w:rsidP="00077723">
      <w:pPr>
        <w:spacing w:line="360" w:lineRule="auto"/>
        <w:rPr>
          <w:rFonts w:ascii="新宋体" w:eastAsia="新宋体" w:hAnsi="新宋体" w:cs="宋体"/>
          <w:szCs w:val="21"/>
        </w:rPr>
      </w:pPr>
      <w:r w:rsidRPr="00077723">
        <w:rPr>
          <w:rFonts w:ascii="新宋体" w:eastAsia="新宋体" w:hAnsi="新宋体" w:cs="宋体" w:hint="eastAsia"/>
          <w:szCs w:val="21"/>
        </w:rPr>
        <w:t>中标人必须履行保密义务，中标人在履行合同过程中所获悉的所有信息都属于保密的内容，不得泄漏工作中所接触获得的信息，须对项目相关数据等信息严格保密，不得外传、不得泄密、不得利用项目数据为自己或第三方谋取利益。</w:t>
      </w:r>
    </w:p>
    <w:p w14:paraId="147DCBDE" w14:textId="77777777" w:rsidR="00077723" w:rsidRPr="00077723" w:rsidRDefault="00077723" w:rsidP="00077723">
      <w:pPr>
        <w:keepNext/>
        <w:keepLines/>
        <w:spacing w:before="260" w:after="260"/>
        <w:outlineLvl w:val="2"/>
        <w:rPr>
          <w:rFonts w:ascii="新宋体" w:eastAsia="新宋体" w:hAnsi="新宋体"/>
          <w:b/>
          <w:bCs/>
          <w:kern w:val="44"/>
          <w:sz w:val="28"/>
          <w:szCs w:val="28"/>
        </w:rPr>
      </w:pPr>
      <w:r w:rsidRPr="00077723">
        <w:rPr>
          <w:rFonts w:ascii="新宋体" w:eastAsia="新宋体" w:hAnsi="新宋体" w:hint="eastAsia"/>
          <w:b/>
          <w:bCs/>
          <w:kern w:val="44"/>
          <w:sz w:val="28"/>
          <w:szCs w:val="28"/>
        </w:rPr>
        <w:lastRenderedPageBreak/>
        <w:t>六、投标报价</w:t>
      </w:r>
    </w:p>
    <w:p w14:paraId="3902C68F" w14:textId="77777777" w:rsidR="00077723" w:rsidRPr="00077723" w:rsidRDefault="00077723" w:rsidP="00077723">
      <w:pPr>
        <w:spacing w:line="360" w:lineRule="auto"/>
        <w:rPr>
          <w:rFonts w:ascii="新宋体" w:eastAsia="新宋体" w:hAnsi="新宋体"/>
        </w:rPr>
      </w:pPr>
      <w:r w:rsidRPr="00077723">
        <w:rPr>
          <w:rFonts w:ascii="新宋体" w:eastAsia="新宋体" w:hAnsi="新宋体" w:hint="eastAsia"/>
        </w:rPr>
        <w:t>1.本项目服务费采用包干制，包括服务成本、法定税费和企业的利润。由投标供应商根据采购文件所提供的资料自行测算投标报价；一经中标，报价总价作为中标供应商与采购人</w:t>
      </w:r>
      <w:proofErr w:type="gramStart"/>
      <w:r w:rsidRPr="00077723">
        <w:rPr>
          <w:rFonts w:ascii="新宋体" w:eastAsia="新宋体" w:hAnsi="新宋体" w:hint="eastAsia"/>
        </w:rPr>
        <w:t>签定</w:t>
      </w:r>
      <w:proofErr w:type="gramEnd"/>
      <w:r w:rsidRPr="00077723">
        <w:rPr>
          <w:rFonts w:ascii="新宋体" w:eastAsia="新宋体" w:hAnsi="新宋体" w:hint="eastAsia"/>
        </w:rPr>
        <w:t>的合同金额，合同期限内不做调整。</w:t>
      </w:r>
    </w:p>
    <w:p w14:paraId="3A883DA8" w14:textId="77777777" w:rsidR="00077723" w:rsidRPr="00077723" w:rsidRDefault="00077723" w:rsidP="00077723">
      <w:pPr>
        <w:spacing w:line="360" w:lineRule="auto"/>
        <w:rPr>
          <w:rFonts w:ascii="新宋体" w:eastAsia="新宋体" w:hAnsi="新宋体"/>
        </w:rPr>
      </w:pPr>
      <w:r w:rsidRPr="00077723">
        <w:rPr>
          <w:rFonts w:ascii="新宋体" w:eastAsia="新宋体" w:hAnsi="新宋体" w:hint="eastAsia"/>
        </w:rPr>
        <w:t>2.投标供应商应当根据本企业的成本自行决定报价，但不得以低于其企业成本的报价投标。</w:t>
      </w:r>
    </w:p>
    <w:p w14:paraId="17B22A7A" w14:textId="77777777" w:rsidR="00077723" w:rsidRPr="00077723" w:rsidRDefault="00077723" w:rsidP="00077723">
      <w:pPr>
        <w:spacing w:line="360" w:lineRule="auto"/>
        <w:rPr>
          <w:rFonts w:ascii="新宋体" w:eastAsia="新宋体" w:hAnsi="新宋体"/>
        </w:rPr>
      </w:pPr>
      <w:r w:rsidRPr="00077723">
        <w:rPr>
          <w:rFonts w:ascii="新宋体" w:eastAsia="新宋体" w:hAnsi="新宋体" w:hint="eastAsia"/>
        </w:rPr>
        <w:t>3.投标供应商的报价不得超过项目预算金额。</w:t>
      </w:r>
    </w:p>
    <w:p w14:paraId="291458FF" w14:textId="77777777" w:rsidR="00077723" w:rsidRPr="00077723" w:rsidRDefault="00077723" w:rsidP="00077723">
      <w:pPr>
        <w:spacing w:line="360" w:lineRule="auto"/>
        <w:rPr>
          <w:rFonts w:ascii="新宋体" w:eastAsia="新宋体" w:hAnsi="新宋体"/>
        </w:rPr>
      </w:pPr>
      <w:r w:rsidRPr="00077723">
        <w:rPr>
          <w:rFonts w:ascii="新宋体" w:eastAsia="新宋体" w:hAnsi="新宋体" w:hint="eastAsia"/>
        </w:rPr>
        <w:t>4.投标供应商的报价，应当是本项目采购范围和采购文件及合同条款上所列的各项内容中所述的全部，不得以任何理由予以重复。</w:t>
      </w:r>
    </w:p>
    <w:p w14:paraId="0CA6FDD7" w14:textId="77777777" w:rsidR="00077723" w:rsidRPr="00077723" w:rsidRDefault="00077723" w:rsidP="00077723">
      <w:pPr>
        <w:spacing w:line="360" w:lineRule="auto"/>
        <w:rPr>
          <w:rFonts w:ascii="新宋体" w:eastAsia="新宋体" w:hAnsi="新宋体"/>
        </w:rPr>
      </w:pPr>
      <w:r w:rsidRPr="00077723">
        <w:rPr>
          <w:rFonts w:ascii="新宋体" w:eastAsia="新宋体" w:hAnsi="新宋体" w:hint="eastAsia"/>
        </w:rPr>
        <w:t>5.除非采购人通过修改采购文件予以更正，否则，投标供应商应毫无例外地按响应文件所列的清单</w:t>
      </w:r>
      <w:proofErr w:type="gramStart"/>
      <w:r w:rsidRPr="00077723">
        <w:rPr>
          <w:rFonts w:ascii="新宋体" w:eastAsia="新宋体" w:hAnsi="新宋体" w:hint="eastAsia"/>
        </w:rPr>
        <w:t>中项目</w:t>
      </w:r>
      <w:proofErr w:type="gramEnd"/>
      <w:r w:rsidRPr="00077723">
        <w:rPr>
          <w:rFonts w:ascii="新宋体" w:eastAsia="新宋体" w:hAnsi="新宋体" w:hint="eastAsia"/>
        </w:rPr>
        <w:t>和数量填报综合单价和合价。投标供应商未</w:t>
      </w:r>
      <w:proofErr w:type="gramStart"/>
      <w:r w:rsidRPr="00077723">
        <w:rPr>
          <w:rFonts w:ascii="新宋体" w:eastAsia="新宋体" w:hAnsi="新宋体" w:hint="eastAsia"/>
        </w:rPr>
        <w:t>填综合</w:t>
      </w:r>
      <w:proofErr w:type="gramEnd"/>
      <w:r w:rsidRPr="00077723">
        <w:rPr>
          <w:rFonts w:ascii="新宋体" w:eastAsia="新宋体" w:hAnsi="新宋体" w:hint="eastAsia"/>
        </w:rPr>
        <w:t>单价或合价的项目，在实施后，将不得以支付，并视作该项费用已包括在其它有价款的综合单价或合价内。</w:t>
      </w:r>
    </w:p>
    <w:p w14:paraId="7D64D45A" w14:textId="77777777" w:rsidR="00077723" w:rsidRPr="00077723" w:rsidRDefault="00077723" w:rsidP="00077723">
      <w:pPr>
        <w:spacing w:line="360" w:lineRule="auto"/>
        <w:rPr>
          <w:rFonts w:ascii="新宋体" w:eastAsia="新宋体" w:hAnsi="新宋体"/>
        </w:rPr>
      </w:pPr>
      <w:r w:rsidRPr="00077723">
        <w:rPr>
          <w:rFonts w:ascii="新宋体" w:eastAsia="新宋体" w:hAnsi="新宋体" w:hint="eastAsia"/>
        </w:rPr>
        <w:t>6.投标供应商应充分了解项目的位置、情况、道路及任何其它足以影响投标报价的情况，任何因忽视或误解项目情况而导致的索赔或服务期限延长申请将不获批准。</w:t>
      </w:r>
    </w:p>
    <w:p w14:paraId="20338A31" w14:textId="77777777" w:rsidR="00077723" w:rsidRPr="00077723" w:rsidRDefault="00077723" w:rsidP="00077723">
      <w:pPr>
        <w:spacing w:line="360" w:lineRule="auto"/>
        <w:rPr>
          <w:rFonts w:ascii="新宋体" w:eastAsia="新宋体" w:hAnsi="新宋体"/>
        </w:rPr>
      </w:pPr>
      <w:r w:rsidRPr="00077723">
        <w:rPr>
          <w:rFonts w:ascii="新宋体" w:eastAsia="新宋体" w:hAnsi="新宋体" w:hint="eastAsia"/>
        </w:rPr>
        <w:t>7.投标供应商不得期望通过索赔等方式获取补偿，否则，除可能遭到拒绝外，还可能将被作为不良行为记录在案，并可能影响其以后参加政府采购的项目投标。各投标供应商在报价时，应充分考虑报价的风险。</w:t>
      </w:r>
    </w:p>
    <w:p w14:paraId="74493943" w14:textId="77777777" w:rsidR="00077723" w:rsidRPr="00077723" w:rsidRDefault="00077723" w:rsidP="00077723">
      <w:pPr>
        <w:spacing w:beforeLines="25" w:before="78" w:afterLines="25" w:after="78"/>
        <w:ind w:firstLineChars="187" w:firstLine="393"/>
        <w:rPr>
          <w:rFonts w:ascii="新宋体" w:eastAsia="新宋体" w:hAnsi="新宋体"/>
          <w:szCs w:val="21"/>
        </w:rPr>
      </w:pPr>
    </w:p>
    <w:p w14:paraId="7E2E768E" w14:textId="098C06D2" w:rsidR="00F516D7" w:rsidRPr="00077723" w:rsidRDefault="00F516D7" w:rsidP="00353CF8">
      <w:pPr>
        <w:spacing w:line="360" w:lineRule="auto"/>
        <w:rPr>
          <w:rFonts w:ascii="新宋体" w:eastAsia="新宋体" w:hAnsi="新宋体"/>
        </w:rPr>
      </w:pPr>
      <w:bookmarkStart w:id="0" w:name="_GoBack"/>
      <w:bookmarkEnd w:id="0"/>
    </w:p>
    <w:sectPr w:rsidR="00F516D7" w:rsidRPr="000777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4A37BF" w14:textId="77777777" w:rsidR="00353CF8" w:rsidRDefault="00353CF8" w:rsidP="00353CF8">
      <w:r>
        <w:separator/>
      </w:r>
    </w:p>
  </w:endnote>
  <w:endnote w:type="continuationSeparator" w:id="0">
    <w:p w14:paraId="7FD29594" w14:textId="77777777" w:rsidR="00353CF8" w:rsidRDefault="00353CF8" w:rsidP="00353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DF2043" w14:textId="77777777" w:rsidR="00353CF8" w:rsidRDefault="00353CF8" w:rsidP="00353CF8">
      <w:r>
        <w:separator/>
      </w:r>
    </w:p>
  </w:footnote>
  <w:footnote w:type="continuationSeparator" w:id="0">
    <w:p w14:paraId="02D19A20" w14:textId="77777777" w:rsidR="00353CF8" w:rsidRDefault="00353CF8" w:rsidP="00353C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65E"/>
    <w:rsid w:val="00077723"/>
    <w:rsid w:val="00353CF8"/>
    <w:rsid w:val="004B55FC"/>
    <w:rsid w:val="005523E0"/>
    <w:rsid w:val="0086765E"/>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BA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CF8"/>
    <w:pPr>
      <w:widowControl w:val="0"/>
      <w:jc w:val="both"/>
    </w:pPr>
    <w:rPr>
      <w:rFonts w:ascii="Times New Roman" w:eastAsia="宋体" w:hAnsi="Times New Roman" w:cs="Times New Roman"/>
      <w:szCs w:val="24"/>
    </w:rPr>
  </w:style>
  <w:style w:type="paragraph" w:styleId="3">
    <w:name w:val="heading 3"/>
    <w:basedOn w:val="4"/>
    <w:next w:val="a"/>
    <w:link w:val="3Char"/>
    <w:qFormat/>
    <w:rsid w:val="00353CF8"/>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353CF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3CF8"/>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3CF8"/>
    <w:rPr>
      <w:sz w:val="18"/>
      <w:szCs w:val="18"/>
    </w:rPr>
  </w:style>
  <w:style w:type="paragraph" w:styleId="a4">
    <w:name w:val="footer"/>
    <w:basedOn w:val="a"/>
    <w:link w:val="Char0"/>
    <w:uiPriority w:val="99"/>
    <w:unhideWhenUsed/>
    <w:rsid w:val="00353CF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3CF8"/>
    <w:rPr>
      <w:sz w:val="18"/>
      <w:szCs w:val="18"/>
    </w:rPr>
  </w:style>
  <w:style w:type="character" w:customStyle="1" w:styleId="3Char">
    <w:name w:val="标题 3 Char"/>
    <w:basedOn w:val="a0"/>
    <w:link w:val="3"/>
    <w:qFormat/>
    <w:rsid w:val="00353CF8"/>
    <w:rPr>
      <w:rFonts w:ascii="宋体" w:eastAsia="宋体" w:hAnsi="宋体" w:cs="Times New Roman"/>
      <w:b/>
      <w:bCs/>
      <w:sz w:val="28"/>
      <w:szCs w:val="32"/>
    </w:rPr>
  </w:style>
  <w:style w:type="character" w:customStyle="1" w:styleId="4Char">
    <w:name w:val="标题 4 Char"/>
    <w:basedOn w:val="a0"/>
    <w:link w:val="4"/>
    <w:uiPriority w:val="9"/>
    <w:semiHidden/>
    <w:rsid w:val="00353CF8"/>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CF8"/>
    <w:pPr>
      <w:widowControl w:val="0"/>
      <w:jc w:val="both"/>
    </w:pPr>
    <w:rPr>
      <w:rFonts w:ascii="Times New Roman" w:eastAsia="宋体" w:hAnsi="Times New Roman" w:cs="Times New Roman"/>
      <w:szCs w:val="24"/>
    </w:rPr>
  </w:style>
  <w:style w:type="paragraph" w:styleId="3">
    <w:name w:val="heading 3"/>
    <w:basedOn w:val="4"/>
    <w:next w:val="a"/>
    <w:link w:val="3Char"/>
    <w:qFormat/>
    <w:rsid w:val="00353CF8"/>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353CF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3CF8"/>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3CF8"/>
    <w:rPr>
      <w:sz w:val="18"/>
      <w:szCs w:val="18"/>
    </w:rPr>
  </w:style>
  <w:style w:type="paragraph" w:styleId="a4">
    <w:name w:val="footer"/>
    <w:basedOn w:val="a"/>
    <w:link w:val="Char0"/>
    <w:uiPriority w:val="99"/>
    <w:unhideWhenUsed/>
    <w:rsid w:val="00353CF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3CF8"/>
    <w:rPr>
      <w:sz w:val="18"/>
      <w:szCs w:val="18"/>
    </w:rPr>
  </w:style>
  <w:style w:type="character" w:customStyle="1" w:styleId="3Char">
    <w:name w:val="标题 3 Char"/>
    <w:basedOn w:val="a0"/>
    <w:link w:val="3"/>
    <w:qFormat/>
    <w:rsid w:val="00353CF8"/>
    <w:rPr>
      <w:rFonts w:ascii="宋体" w:eastAsia="宋体" w:hAnsi="宋体" w:cs="Times New Roman"/>
      <w:b/>
      <w:bCs/>
      <w:sz w:val="28"/>
      <w:szCs w:val="32"/>
    </w:rPr>
  </w:style>
  <w:style w:type="character" w:customStyle="1" w:styleId="4Char">
    <w:name w:val="标题 4 Char"/>
    <w:basedOn w:val="a0"/>
    <w:link w:val="4"/>
    <w:uiPriority w:val="9"/>
    <w:semiHidden/>
    <w:rsid w:val="00353CF8"/>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598</Words>
  <Characters>3413</Characters>
  <Application>Microsoft Office Word</Application>
  <DocSecurity>0</DocSecurity>
  <Lines>28</Lines>
  <Paragraphs>8</Paragraphs>
  <ScaleCrop>false</ScaleCrop>
  <Company/>
  <LinksUpToDate>false</LinksUpToDate>
  <CharactersWithSpaces>4003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ZP</cp:lastModifiedBy>
  <cp:revision>6</cp:revision>
  <dcterms:created xsi:type="dcterms:W3CDTF">2024-01-19T01:43:00Z</dcterms:created>
  <dcterms:modified xsi:type="dcterms:W3CDTF">2024-01-19T07:19:00Z</dcterms:modified>
</cp:coreProperties>
</file>