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新宋体" w:hAnsi="新宋体" w:eastAsia="新宋体"/>
          <w:kern w:val="44"/>
          <w:sz w:val="30"/>
          <w:szCs w:val="30"/>
        </w:rPr>
      </w:pPr>
      <w:r>
        <w:rPr>
          <w:rFonts w:hint="eastAsia" w:ascii="新宋体" w:hAnsi="新宋体" w:eastAsia="新宋体"/>
          <w:kern w:val="44"/>
          <w:sz w:val="30"/>
          <w:szCs w:val="30"/>
        </w:rPr>
        <w:t>第二章  招标项目需求</w:t>
      </w:r>
    </w:p>
    <w:p>
      <w:pPr>
        <w:pStyle w:val="4"/>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pPr>
              <w:spacing w:line="276" w:lineRule="auto"/>
              <w:jc w:val="center"/>
              <w:rPr>
                <w:rFonts w:ascii="新宋体" w:hAnsi="新宋体" w:eastAsia="新宋体"/>
                <w:b/>
                <w:bCs/>
              </w:rPr>
            </w:pPr>
            <w:r>
              <w:rPr>
                <w:rFonts w:hint="eastAsia" w:ascii="新宋体" w:hAnsi="新宋体" w:eastAsia="新宋体"/>
                <w:b/>
                <w:bCs/>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pPr>
              <w:spacing w:line="276" w:lineRule="auto"/>
              <w:rPr>
                <w:rFonts w:ascii="新宋体" w:hAnsi="新宋体" w:eastAsia="新宋体"/>
              </w:rPr>
            </w:pPr>
            <w:r>
              <w:rPr>
                <w:rFonts w:hint="eastAsia" w:ascii="新宋体" w:hAnsi="新宋体" w:eastAsia="新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0" w:name="投递标书方式"/>
            <w:r>
              <w:rPr>
                <w:rFonts w:hint="eastAsia" w:ascii="新宋体" w:hAnsi="新宋体" w:eastAsia="新宋体"/>
                <w:snapToGrid w:val="0"/>
                <w:szCs w:val="21"/>
                <w:u w:val="single"/>
                <w:lang w:val="zh-CN"/>
              </w:rPr>
              <w:t>网下投标</w:t>
            </w:r>
            <w:bookmarkEnd w:id="0"/>
            <w:r>
              <w:rPr>
                <w:rFonts w:hint="eastAsia" w:ascii="新宋体" w:hAnsi="新宋体" w:eastAsia="新宋体"/>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pPr>
              <w:spacing w:line="276" w:lineRule="auto"/>
              <w:rPr>
                <w:rFonts w:ascii="新宋体" w:hAnsi="新宋体" w:eastAsia="新宋体"/>
              </w:rPr>
            </w:pPr>
            <w:r>
              <w:rPr>
                <w:rFonts w:hint="eastAsia" w:ascii="新宋体" w:hAnsi="新宋体" w:eastAsia="新宋体"/>
              </w:rPr>
              <w:t>_____万元或合同金额的_____%，缴纳方式：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pPr>
        <w:rPr>
          <w:rFonts w:ascii="新宋体" w:hAnsi="新宋体" w:eastAsia="新宋体"/>
          <w:b/>
        </w:rPr>
      </w:pPr>
    </w:p>
    <w:p>
      <w:pPr>
        <w:pStyle w:val="4"/>
        <w:rPr>
          <w:rFonts w:ascii="新宋体" w:hAnsi="新宋体" w:eastAsia="新宋体"/>
          <w:kern w:val="44"/>
          <w:szCs w:val="28"/>
        </w:rPr>
      </w:pPr>
      <w:bookmarkStart w:id="1" w:name="_Toc128884461"/>
      <w:r>
        <w:rPr>
          <w:rFonts w:hint="eastAsia" w:ascii="新宋体" w:hAnsi="新宋体" w:eastAsia="新宋体"/>
          <w:kern w:val="44"/>
          <w:szCs w:val="28"/>
        </w:rPr>
        <w:t>二、实质性条款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7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序号</w:t>
            </w:r>
          </w:p>
        </w:tc>
        <w:tc>
          <w:tcPr>
            <w:tcW w:w="7938" w:type="dxa"/>
            <w:vAlign w:val="center"/>
          </w:tcPr>
          <w:p>
            <w:pPr>
              <w:spacing w:line="276" w:lineRule="auto"/>
              <w:rPr>
                <w:rFonts w:ascii="新宋体" w:hAnsi="新宋体" w:eastAsia="新宋体"/>
              </w:rPr>
            </w:pPr>
            <w:r>
              <w:rPr>
                <w:rFonts w:hint="eastAsia" w:ascii="新宋体" w:hAnsi="新宋体" w:eastAsia="新宋体"/>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1</w:t>
            </w:r>
          </w:p>
        </w:tc>
        <w:tc>
          <w:tcPr>
            <w:tcW w:w="7938" w:type="dxa"/>
            <w:vAlign w:val="center"/>
          </w:tcPr>
          <w:p>
            <w:pPr>
              <w:spacing w:line="276" w:lineRule="auto"/>
              <w:jc w:val="center"/>
              <w:rPr>
                <w:rFonts w:ascii="新宋体" w:hAnsi="新宋体" w:eastAsia="新宋体"/>
              </w:rPr>
            </w:pPr>
            <w:r>
              <w:rPr>
                <w:rFonts w:hint="eastAsia" w:ascii="新宋体" w:hAnsi="新宋体" w:eastAsia="新宋体"/>
              </w:rPr>
              <w:t>完全满足本项目服务期限的要求。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2</w:t>
            </w:r>
          </w:p>
        </w:tc>
        <w:tc>
          <w:tcPr>
            <w:tcW w:w="7938" w:type="dxa"/>
            <w:vAlign w:val="center"/>
          </w:tcPr>
          <w:p>
            <w:pPr>
              <w:spacing w:line="276" w:lineRule="auto"/>
              <w:jc w:val="center"/>
              <w:rPr>
                <w:rFonts w:ascii="新宋体" w:hAnsi="新宋体" w:eastAsia="新宋体"/>
              </w:rPr>
            </w:pPr>
            <w:r>
              <w:rPr>
                <w:rFonts w:hint="eastAsia" w:ascii="新宋体" w:hAnsi="新宋体" w:eastAsia="新宋体"/>
              </w:rPr>
              <w:t>完全满足本项目</w:t>
            </w:r>
            <w:r>
              <w:rPr>
                <w:rFonts w:hint="eastAsia" w:ascii="宋体" w:hAnsi="宋体" w:cs="宋体"/>
                <w:b/>
                <w:bCs/>
                <w:szCs w:val="21"/>
              </w:rPr>
              <w:t>★</w:t>
            </w:r>
            <w:r>
              <w:rPr>
                <w:rFonts w:hint="eastAsia" w:ascii="宋体" w:hAnsi="宋体" w:cs="宋体"/>
                <w:bCs/>
                <w:szCs w:val="21"/>
              </w:rPr>
              <w:t>号的要求。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w:t>
            </w:r>
          </w:p>
        </w:tc>
        <w:tc>
          <w:tcPr>
            <w:tcW w:w="7938" w:type="dxa"/>
            <w:vAlign w:val="center"/>
          </w:tcPr>
          <w:p>
            <w:pPr>
              <w:spacing w:line="276" w:lineRule="auto"/>
              <w:rPr>
                <w:rFonts w:ascii="新宋体" w:hAnsi="新宋体" w:eastAsia="新宋体"/>
              </w:rPr>
            </w:pPr>
          </w:p>
        </w:tc>
      </w:tr>
    </w:tbl>
    <w:p>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1"/>
    <w:p>
      <w:pPr>
        <w:pStyle w:val="4"/>
        <w:rPr>
          <w:rFonts w:ascii="新宋体" w:hAnsi="新宋体" w:eastAsia="新宋体"/>
          <w:kern w:val="44"/>
          <w:szCs w:val="28"/>
        </w:rPr>
      </w:pPr>
      <w:r>
        <w:rPr>
          <w:rFonts w:hint="eastAsia" w:ascii="新宋体" w:hAnsi="新宋体" w:eastAsia="新宋体"/>
          <w:kern w:val="44"/>
          <w:szCs w:val="28"/>
        </w:rPr>
        <w:t>三、项目概况</w:t>
      </w:r>
    </w:p>
    <w:p>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人民币柒拾万元整（700,000.00），</w:t>
      </w:r>
      <w:r>
        <w:rPr>
          <w:rFonts w:ascii="新宋体" w:hAnsi="新宋体" w:eastAsia="新宋体" w:cs="宋体"/>
          <w:szCs w:val="21"/>
        </w:rPr>
        <w:t>最高投标限价</w:t>
      </w:r>
      <w:r>
        <w:rPr>
          <w:rFonts w:hint="eastAsia" w:ascii="新宋体" w:hAnsi="新宋体" w:eastAsia="新宋体" w:cs="宋体"/>
          <w:szCs w:val="21"/>
        </w:rPr>
        <w:t>: 人民币柒拾万元整（700,000.00）</w:t>
      </w:r>
    </w:p>
    <w:p>
      <w:pPr>
        <w:spacing w:line="360" w:lineRule="auto"/>
        <w:rPr>
          <w:rFonts w:ascii="新宋体" w:hAnsi="新宋体" w:eastAsia="新宋体" w:cs="宋体"/>
          <w:szCs w:val="21"/>
        </w:rPr>
      </w:pPr>
      <w:r>
        <w:rPr>
          <w:rFonts w:hint="eastAsia" w:ascii="新宋体" w:hAnsi="新宋体" w:eastAsia="新宋体" w:cs="宋体"/>
          <w:szCs w:val="21"/>
        </w:rPr>
        <w:t xml:space="preserve">（二）项目概况: </w:t>
      </w:r>
    </w:p>
    <w:p>
      <w:pPr>
        <w:spacing w:line="360" w:lineRule="auto"/>
        <w:ind w:firstLine="420" w:firstLineChars="200"/>
        <w:rPr>
          <w:rFonts w:hint="eastAsia" w:ascii="新宋体" w:hAnsi="新宋体" w:eastAsia="新宋体" w:cs="宋体"/>
          <w:szCs w:val="21"/>
        </w:rPr>
      </w:pPr>
      <w:r>
        <w:rPr>
          <w:rFonts w:hint="eastAsia" w:ascii="新宋体" w:hAnsi="新宋体" w:eastAsia="新宋体" w:cs="宋体"/>
          <w:szCs w:val="21"/>
        </w:rPr>
        <w:t>土壤生态环境保护直接关系到粮食安全和人民群众身体健康。党中央、国务院高度重视土壤生态环境保护工作，习近平总书记强调，要全面落实《土壤污染防治行动计划》，突出重点区域、行业和污染物，强化土壤污染管控和修复，有效防范风险，让老百姓吃得放心、住得安心。</w:t>
      </w:r>
    </w:p>
    <w:p>
      <w:pPr>
        <w:spacing w:line="360" w:lineRule="auto"/>
        <w:ind w:firstLine="420" w:firstLineChars="200"/>
        <w:rPr>
          <w:rFonts w:hint="eastAsia" w:ascii="新宋体" w:hAnsi="新宋体" w:eastAsia="新宋体" w:cs="宋体"/>
          <w:szCs w:val="21"/>
        </w:rPr>
      </w:pPr>
      <w:r>
        <w:rPr>
          <w:rFonts w:hint="eastAsia" w:ascii="新宋体" w:hAnsi="新宋体" w:eastAsia="新宋体" w:cs="宋体"/>
          <w:szCs w:val="21"/>
        </w:rPr>
        <w:t>根据《中华人民共和国土壤污染防治法》、《市生态环境局 市规划和自然资源局关于印发〈深圳市建设用地土壤污染状况调查与风险评估工作指引（2021年版）〉和〈深圳市建设用地土壤污染状况调查报告评审工作程序（2021年版）〉的通知》（深环〔2021〕15号）的相关要求，疑似污染地块土壤污染状况初步调查报告的评审工作由采购人会同规划和自然资源局等部门开展，若专家对地块污染查报告检测结果存在异议的，可根据需要与调查单位一起开展复核调查。依照《工矿用地土壤环境管理办法（试行）》中第十七条明确县级以上生态环境主管部门有权对本行政区域内的重点单位进行现场检查。按照《关于开展污染地块安全利用现场检查的通知》（环办土壤函〔2020〕176号）的文件要求，针对（疑似）污染地块需开展定期巡查任务。</w:t>
      </w:r>
    </w:p>
    <w:p>
      <w:pPr>
        <w:spacing w:line="360" w:lineRule="auto"/>
        <w:ind w:firstLine="420" w:firstLineChars="200"/>
        <w:rPr>
          <w:rFonts w:ascii="新宋体" w:hAnsi="新宋体" w:eastAsia="新宋体" w:cs="宋体"/>
          <w:szCs w:val="21"/>
        </w:rPr>
      </w:pPr>
      <w:r>
        <w:rPr>
          <w:rFonts w:hint="eastAsia" w:ascii="新宋体" w:hAnsi="新宋体" w:eastAsia="新宋体" w:cs="宋体"/>
          <w:szCs w:val="21"/>
        </w:rPr>
        <w:t>根据《关于发布〈建设用地土壤污染状况初步调查监督检查工作指南（试行）〉〈建设用地土壤污染状况调查质量控制技术规定（试行）的公告》要求，加强建设用地土壤污染状况调查工作的管理，指导做好过程质量控制，推动提高调查工作质量。</w:t>
      </w:r>
    </w:p>
    <w:p>
      <w:pPr>
        <w:rPr>
          <w:rFonts w:ascii="新宋体" w:hAnsi="新宋体" w:eastAsia="新宋体"/>
          <w:b/>
          <w:bCs/>
          <w:szCs w:val="21"/>
        </w:rPr>
      </w:pPr>
    </w:p>
    <w:p>
      <w:pPr>
        <w:pStyle w:val="4"/>
        <w:rPr>
          <w:rFonts w:ascii="新宋体" w:hAnsi="新宋体" w:eastAsia="新宋体"/>
          <w:kern w:val="44"/>
          <w:szCs w:val="28"/>
        </w:rPr>
      </w:pPr>
      <w:r>
        <w:rPr>
          <w:rFonts w:hint="eastAsia" w:ascii="新宋体" w:hAnsi="新宋体" w:eastAsia="新宋体"/>
          <w:kern w:val="44"/>
          <w:szCs w:val="28"/>
        </w:rPr>
        <w:t>四、项目技术要求</w:t>
      </w:r>
    </w:p>
    <w:p>
      <w:pPr>
        <w:spacing w:line="360" w:lineRule="auto"/>
        <w:ind w:firstLine="420" w:firstLineChars="200"/>
        <w:rPr>
          <w:rFonts w:hint="eastAsia" w:ascii="新宋体" w:hAnsi="新宋体" w:eastAsia="新宋体"/>
          <w:bCs/>
        </w:rPr>
      </w:pPr>
      <w:r>
        <w:rPr>
          <w:rFonts w:hint="eastAsia" w:ascii="新宋体" w:hAnsi="新宋体" w:eastAsia="新宋体"/>
          <w:bCs/>
        </w:rPr>
        <w:t>一、服务内容</w:t>
      </w:r>
    </w:p>
    <w:p>
      <w:pPr>
        <w:spacing w:line="360" w:lineRule="auto"/>
        <w:ind w:firstLine="420" w:firstLineChars="200"/>
        <w:rPr>
          <w:rFonts w:hint="eastAsia" w:ascii="新宋体" w:hAnsi="新宋体" w:eastAsia="新宋体"/>
          <w:bCs/>
        </w:rPr>
      </w:pPr>
      <w:r>
        <w:rPr>
          <w:rFonts w:hint="eastAsia" w:ascii="新宋体" w:hAnsi="新宋体" w:eastAsia="新宋体"/>
          <w:bCs/>
        </w:rPr>
        <w:t>（一）为开展建设用地土壤污染状况调查报告评审提供技术服务。</w:t>
      </w:r>
    </w:p>
    <w:p>
      <w:pPr>
        <w:spacing w:line="360" w:lineRule="auto"/>
        <w:ind w:firstLine="420" w:firstLineChars="200"/>
        <w:rPr>
          <w:rFonts w:hint="eastAsia" w:ascii="新宋体" w:hAnsi="新宋体" w:eastAsia="新宋体"/>
          <w:bCs/>
        </w:rPr>
      </w:pPr>
      <w:r>
        <w:rPr>
          <w:rFonts w:hint="eastAsia" w:ascii="新宋体" w:hAnsi="新宋体" w:eastAsia="新宋体"/>
          <w:bCs/>
        </w:rPr>
        <w:t>按照《关于印发&lt;深圳市建设用地土壤污染状况调查与风险评估工作指引（2021年版）&gt;和&lt;深圳市建设用地土壤污染状况调查报告评审工作程序（2021年版）&gt;的通知》（深环〔2021〕15号），土壤污染状况初步调查报告由采购人会同深圳市规划和自然资源局福田管理局负责开展，其中采购人主要负责报告形式审核、专家评审、档案建立以及系统审核备案等工作。</w:t>
      </w:r>
    </w:p>
    <w:p>
      <w:pPr>
        <w:spacing w:line="360" w:lineRule="auto"/>
        <w:ind w:firstLine="420" w:firstLineChars="200"/>
        <w:rPr>
          <w:rFonts w:hint="eastAsia" w:ascii="新宋体" w:hAnsi="新宋体" w:eastAsia="新宋体"/>
          <w:bCs/>
        </w:rPr>
      </w:pPr>
      <w:r>
        <w:rPr>
          <w:rFonts w:hint="eastAsia" w:ascii="新宋体" w:hAnsi="新宋体" w:eastAsia="新宋体"/>
          <w:bCs/>
        </w:rPr>
        <w:t>1.提供确定疑似污染地块名单技术服务。结合辖区内土壤环境日常监管情况，将符合指引要求规定的地块纳入疑似污染地块名单提出技术意见，协助将地块相关信息上传至污染地块管理系统，并分配污染地块管理系统账号。</w:t>
      </w:r>
    </w:p>
    <w:p>
      <w:pPr>
        <w:spacing w:line="360" w:lineRule="auto"/>
        <w:ind w:firstLine="420" w:firstLineChars="200"/>
        <w:rPr>
          <w:rFonts w:hint="eastAsia" w:ascii="新宋体" w:hAnsi="新宋体" w:eastAsia="新宋体"/>
          <w:bCs/>
        </w:rPr>
      </w:pPr>
      <w:r>
        <w:rPr>
          <w:rFonts w:hint="eastAsia" w:ascii="新宋体" w:hAnsi="新宋体" w:eastAsia="新宋体"/>
          <w:bCs/>
        </w:rPr>
        <w:t>2.协助核实信用记录。在土壤污染状况调查报告形式审查前，提供核实报告相关从业单位和个人信用记录系统备案及业绩信息登记情况技术服务</w:t>
      </w:r>
    </w:p>
    <w:p>
      <w:pPr>
        <w:spacing w:line="360" w:lineRule="auto"/>
        <w:ind w:firstLine="420" w:firstLineChars="200"/>
        <w:rPr>
          <w:rFonts w:hint="eastAsia" w:ascii="新宋体" w:hAnsi="新宋体" w:eastAsia="新宋体"/>
          <w:bCs/>
        </w:rPr>
      </w:pPr>
      <w:r>
        <w:rPr>
          <w:rFonts w:hint="eastAsia" w:ascii="新宋体" w:hAnsi="新宋体" w:eastAsia="新宋体"/>
          <w:bCs/>
        </w:rPr>
        <w:t>3.协助开展形式审查。地块初步调查报告上传污染地块信息系统后，对照《工作指引》要求及形式审查要点，确保5个工作日内对初步调查报告进行形式审查提供技术支持，并协助在污染地块信息系统中下达形式审查意见。</w:t>
      </w:r>
    </w:p>
    <w:p>
      <w:pPr>
        <w:spacing w:line="360" w:lineRule="auto"/>
        <w:ind w:firstLine="420" w:firstLineChars="200"/>
        <w:rPr>
          <w:rFonts w:hint="eastAsia" w:ascii="新宋体" w:hAnsi="新宋体" w:eastAsia="新宋体"/>
          <w:bCs/>
        </w:rPr>
      </w:pPr>
      <w:r>
        <w:rPr>
          <w:rFonts w:hint="eastAsia" w:ascii="新宋体" w:hAnsi="新宋体" w:eastAsia="新宋体"/>
          <w:bCs/>
        </w:rPr>
        <w:t>4.协助组织专家评审。</w:t>
      </w:r>
    </w:p>
    <w:p>
      <w:pPr>
        <w:spacing w:line="360" w:lineRule="auto"/>
        <w:ind w:firstLine="420" w:firstLineChars="200"/>
        <w:rPr>
          <w:rFonts w:hint="eastAsia" w:ascii="新宋体" w:hAnsi="新宋体" w:eastAsia="新宋体"/>
          <w:bCs/>
        </w:rPr>
      </w:pPr>
      <w:r>
        <w:rPr>
          <w:rFonts w:hint="eastAsia" w:ascii="新宋体" w:hAnsi="新宋体" w:eastAsia="新宋体"/>
          <w:bCs/>
        </w:rPr>
        <w:t>5.提供系统审核备案工作技术服务支持。</w:t>
      </w:r>
    </w:p>
    <w:p>
      <w:pPr>
        <w:spacing w:line="360" w:lineRule="auto"/>
        <w:ind w:firstLine="420" w:firstLineChars="200"/>
        <w:rPr>
          <w:rFonts w:hint="eastAsia" w:ascii="新宋体" w:hAnsi="新宋体" w:eastAsia="新宋体"/>
          <w:bCs/>
        </w:rPr>
      </w:pPr>
      <w:r>
        <w:rPr>
          <w:rFonts w:hint="eastAsia" w:ascii="新宋体" w:hAnsi="新宋体" w:eastAsia="新宋体"/>
          <w:bCs/>
        </w:rPr>
        <w:t>6.协助建立一地一档。针对已移除疑似污染地块名录的建设用地，建立一地一档，编制《福田区2024年建设用地土壤污染状况调查评审成果合集》。</w:t>
      </w:r>
    </w:p>
    <w:p>
      <w:pPr>
        <w:spacing w:line="360" w:lineRule="auto"/>
        <w:ind w:firstLine="420" w:firstLineChars="200"/>
        <w:rPr>
          <w:rFonts w:hint="eastAsia" w:ascii="新宋体" w:hAnsi="新宋体" w:eastAsia="新宋体"/>
          <w:bCs/>
        </w:rPr>
      </w:pPr>
      <w:r>
        <w:rPr>
          <w:rFonts w:hint="eastAsia" w:ascii="新宋体" w:hAnsi="新宋体" w:eastAsia="新宋体"/>
          <w:bCs/>
        </w:rPr>
        <w:t>（二）提供（疑似）污染地块安全利用现场核查技术服务。</w:t>
      </w:r>
    </w:p>
    <w:p>
      <w:pPr>
        <w:spacing w:line="360" w:lineRule="auto"/>
        <w:ind w:firstLine="420" w:firstLineChars="200"/>
        <w:rPr>
          <w:rFonts w:hint="eastAsia" w:ascii="新宋体" w:hAnsi="新宋体" w:eastAsia="新宋体"/>
          <w:bCs/>
        </w:rPr>
      </w:pPr>
      <w:r>
        <w:rPr>
          <w:rFonts w:hint="eastAsia" w:ascii="新宋体" w:hAnsi="新宋体" w:eastAsia="新宋体"/>
          <w:bCs/>
        </w:rPr>
        <w:t>1.按照《关于开展污染地块安全利用现场检查的通知》（环办土壤函〔2020〕176号）和《广东省生态环境厅办公室关于组织开展污染地块现场检查的通知》要求，针对辖区已纳入污染地块系统的全部（疑似）污染地块，向采购人提供（疑似）污染地块安全利用现场核查技术服务，形成月度巡查报告；为总结全年建设用地土壤污染状况初步调查报告审查情况及（疑似）污染地块安全利用现场检查情况，形成年度报告提供技术支持。</w:t>
      </w:r>
    </w:p>
    <w:p>
      <w:pPr>
        <w:spacing w:line="360" w:lineRule="auto"/>
        <w:ind w:firstLine="420" w:firstLineChars="200"/>
        <w:rPr>
          <w:rFonts w:hint="eastAsia" w:ascii="新宋体" w:hAnsi="新宋体" w:eastAsia="新宋体"/>
          <w:bCs/>
        </w:rPr>
      </w:pPr>
      <w:r>
        <w:rPr>
          <w:rFonts w:hint="eastAsia" w:ascii="新宋体" w:hAnsi="新宋体" w:eastAsia="新宋体"/>
          <w:bCs/>
        </w:rPr>
        <w:t>2.按照《关于发布〈建设用地土壤污染状况初步调查监督检查工作指南（试行）〉〈建设用地土壤污染状况调查质量控制技术规定（试行）的公告》要求，配合采购人加强建设用地土壤污染状况调查工作的管理，指导做好过程质量控制，推动提高调查工作质量。</w:t>
      </w:r>
    </w:p>
    <w:p>
      <w:pPr>
        <w:spacing w:line="360" w:lineRule="auto"/>
        <w:ind w:firstLine="420" w:firstLineChars="200"/>
        <w:rPr>
          <w:rFonts w:hint="eastAsia" w:ascii="新宋体" w:hAnsi="新宋体" w:eastAsia="新宋体"/>
          <w:bCs/>
        </w:rPr>
      </w:pPr>
      <w:r>
        <w:rPr>
          <w:rFonts w:hint="eastAsia" w:ascii="新宋体" w:hAnsi="新宋体" w:eastAsia="新宋体"/>
          <w:bCs/>
        </w:rPr>
        <w:t>3.在开展定期现场核查和专家评审的过程中，对于调查结果存有异议的，可根据需求开展复核调查等工作提供技术服务。</w:t>
      </w:r>
    </w:p>
    <w:p>
      <w:pPr>
        <w:spacing w:line="360" w:lineRule="auto"/>
        <w:ind w:firstLine="420" w:firstLineChars="200"/>
        <w:rPr>
          <w:rFonts w:hint="eastAsia" w:ascii="新宋体" w:hAnsi="新宋体" w:eastAsia="新宋体"/>
          <w:bCs/>
        </w:rPr>
      </w:pPr>
      <w:r>
        <w:rPr>
          <w:rFonts w:hint="eastAsia" w:ascii="新宋体" w:hAnsi="新宋体" w:eastAsia="新宋体"/>
          <w:bCs/>
        </w:rPr>
        <w:t>4.为贯彻落实土壤污染防治法的要求，进一步防控风险管控和治理修复过程中产生的二次污染，将协助采购人按照《深圳市土壤污染风险管控和治理修复项目环境执法检查工作指引》（深环办〔2021〕60号）要求，为辖区内的土壤污染风险和治理修复项目开展环境执法检查提供技术支持。同时，创新服务手段和机制，为“线上监管+线下检查”监管模式提供技术支撑，辅助施工现场检查。</w:t>
      </w:r>
    </w:p>
    <w:p>
      <w:pPr>
        <w:spacing w:line="360" w:lineRule="auto"/>
        <w:ind w:firstLine="420" w:firstLineChars="200"/>
        <w:rPr>
          <w:rFonts w:hint="eastAsia" w:ascii="新宋体" w:hAnsi="新宋体" w:eastAsia="新宋体"/>
          <w:bCs/>
        </w:rPr>
      </w:pPr>
      <w:r>
        <w:rPr>
          <w:rFonts w:hint="eastAsia" w:ascii="新宋体" w:hAnsi="新宋体" w:eastAsia="新宋体"/>
          <w:bCs/>
        </w:rPr>
        <w:t>（三）指导土壤污染重点监管单位落实土壤环境保护工作提供技术服务。</w:t>
      </w:r>
    </w:p>
    <w:p>
      <w:pPr>
        <w:spacing w:line="360" w:lineRule="auto"/>
        <w:ind w:firstLine="420" w:firstLineChars="200"/>
        <w:rPr>
          <w:rFonts w:hint="eastAsia" w:ascii="新宋体" w:hAnsi="新宋体" w:eastAsia="新宋体"/>
          <w:bCs/>
        </w:rPr>
      </w:pPr>
      <w:r>
        <w:rPr>
          <w:rFonts w:hint="eastAsia" w:ascii="新宋体" w:hAnsi="新宋体" w:eastAsia="新宋体"/>
          <w:bCs/>
        </w:rPr>
        <w:t>为贯彻落实《中华人民共和国土壤污染防治法》、《工矿用地土壤环境管理办法（试行）》（生态环境部令第3号）的要求，有效防控土壤污染重点监管单位土壤污染风险，指导辖区重点监管单位在规定时间内落实土壤环境保护工作提供技术服务。另外，为加强对土壤污染重点监管单位的监督管理，为采购人督促辖区土壤污染重点监管单位落实土壤污染防治义务提供技术服务。</w:t>
      </w:r>
    </w:p>
    <w:p>
      <w:pPr>
        <w:spacing w:line="360" w:lineRule="auto"/>
        <w:ind w:firstLine="420" w:firstLineChars="200"/>
        <w:rPr>
          <w:rFonts w:hint="eastAsia" w:ascii="新宋体" w:hAnsi="新宋体" w:eastAsia="新宋体"/>
          <w:bCs/>
        </w:rPr>
      </w:pPr>
      <w:r>
        <w:rPr>
          <w:rFonts w:hint="eastAsia" w:ascii="新宋体" w:hAnsi="新宋体" w:eastAsia="新宋体"/>
          <w:bCs/>
        </w:rPr>
        <w:t>（四）提供土壤环境保护技术培训。</w:t>
      </w:r>
    </w:p>
    <w:p>
      <w:pPr>
        <w:spacing w:line="360" w:lineRule="auto"/>
        <w:ind w:firstLine="420" w:firstLineChars="200"/>
        <w:rPr>
          <w:rFonts w:hint="eastAsia" w:ascii="新宋体" w:hAnsi="新宋体" w:eastAsia="新宋体"/>
          <w:bCs/>
        </w:rPr>
      </w:pPr>
      <w:r>
        <w:rPr>
          <w:rFonts w:hint="eastAsia" w:ascii="新宋体" w:hAnsi="新宋体" w:eastAsia="新宋体"/>
          <w:bCs/>
        </w:rPr>
        <w:t>关于实施土壤环境保护工作过程中遇到的盲点、难点、薄弱点，组织系统、有针对性的技术培训，提高土壤生态环境管理人员的政策水平和基础业务能力。</w:t>
      </w:r>
    </w:p>
    <w:p>
      <w:pPr>
        <w:spacing w:line="360" w:lineRule="auto"/>
        <w:ind w:firstLine="420" w:firstLineChars="200"/>
        <w:rPr>
          <w:rFonts w:hint="eastAsia" w:ascii="新宋体" w:hAnsi="新宋体" w:eastAsia="新宋体"/>
          <w:bCs/>
        </w:rPr>
      </w:pPr>
      <w:r>
        <w:rPr>
          <w:rFonts w:hint="eastAsia" w:ascii="新宋体" w:hAnsi="新宋体" w:eastAsia="新宋体"/>
          <w:bCs/>
        </w:rPr>
        <w:t>（五）协助完成上级年度土壤总结和考核工作。</w:t>
      </w:r>
    </w:p>
    <w:p>
      <w:pPr>
        <w:spacing w:line="360" w:lineRule="auto"/>
        <w:ind w:firstLine="420" w:firstLineChars="200"/>
        <w:rPr>
          <w:rFonts w:hint="eastAsia" w:ascii="新宋体" w:hAnsi="新宋体" w:eastAsia="新宋体"/>
          <w:bCs/>
        </w:rPr>
      </w:pPr>
      <w:r>
        <w:rPr>
          <w:rFonts w:hint="eastAsia" w:ascii="新宋体" w:hAnsi="新宋体" w:eastAsia="新宋体"/>
          <w:bCs/>
        </w:rPr>
        <w:t>依据《深圳市2024年度生态文明建设考核》及其考核细则，严格目标责任落实，确保目标任务完成，为福田区土壤达标考核提供技术支持和理论依据。</w:t>
      </w:r>
    </w:p>
    <w:p>
      <w:pPr>
        <w:spacing w:line="360" w:lineRule="auto"/>
        <w:ind w:firstLine="420" w:firstLineChars="200"/>
        <w:rPr>
          <w:rFonts w:hint="eastAsia" w:ascii="新宋体" w:hAnsi="新宋体" w:eastAsia="新宋体"/>
          <w:bCs/>
        </w:rPr>
      </w:pPr>
      <w:r>
        <w:rPr>
          <w:rFonts w:hint="eastAsia" w:ascii="新宋体" w:hAnsi="新宋体" w:eastAsia="新宋体"/>
          <w:bCs/>
        </w:rPr>
        <w:t>（六）协助做好2024年度土壤环境保护和质量提升其他工作。</w:t>
      </w:r>
    </w:p>
    <w:p>
      <w:pPr>
        <w:spacing w:line="360" w:lineRule="auto"/>
        <w:ind w:firstLine="420" w:firstLineChars="200"/>
        <w:rPr>
          <w:rFonts w:hint="eastAsia" w:ascii="新宋体" w:hAnsi="新宋体" w:eastAsia="新宋体"/>
          <w:bCs/>
        </w:rPr>
      </w:pPr>
      <w:r>
        <w:rPr>
          <w:rFonts w:hint="eastAsia" w:ascii="新宋体" w:hAnsi="新宋体" w:eastAsia="新宋体"/>
          <w:bCs/>
        </w:rPr>
        <w:t>根据国家、省和市对土壤环境保护和质量提升相关工作的最新要求，分解落实我区土壤环境保护相关目标和工作任务，为编制《2024年度土壤环境保护和质量提升工作方案》提供技术支持，根据2024年土壤环境保护和质量提升工作的开展情况，加强辖区土壤污染源头管控。</w:t>
      </w:r>
    </w:p>
    <w:p>
      <w:pPr>
        <w:spacing w:line="360" w:lineRule="auto"/>
        <w:ind w:firstLine="420" w:firstLineChars="200"/>
        <w:rPr>
          <w:rFonts w:hint="eastAsia" w:ascii="新宋体" w:hAnsi="新宋体" w:eastAsia="新宋体"/>
          <w:bCs/>
        </w:rPr>
      </w:pPr>
      <w:r>
        <w:rPr>
          <w:rFonts w:hint="eastAsia" w:ascii="新宋体" w:hAnsi="新宋体" w:eastAsia="新宋体"/>
          <w:bCs/>
        </w:rPr>
        <w:t>二、服务方式</w:t>
      </w:r>
    </w:p>
    <w:p>
      <w:pPr>
        <w:spacing w:line="360" w:lineRule="auto"/>
        <w:ind w:firstLine="420" w:firstLineChars="200"/>
        <w:rPr>
          <w:rFonts w:hint="eastAsia" w:ascii="新宋体" w:hAnsi="新宋体" w:eastAsia="新宋体"/>
          <w:bCs/>
        </w:rPr>
      </w:pPr>
      <w:r>
        <w:rPr>
          <w:rFonts w:hint="eastAsia" w:ascii="新宋体" w:hAnsi="新宋体" w:eastAsia="新宋体"/>
          <w:bCs/>
        </w:rPr>
        <w:t>提供专业技术咨询服务。</w:t>
      </w:r>
    </w:p>
    <w:p>
      <w:pPr>
        <w:spacing w:line="360" w:lineRule="auto"/>
        <w:ind w:firstLine="420" w:firstLineChars="200"/>
        <w:rPr>
          <w:rFonts w:hint="eastAsia" w:ascii="新宋体" w:hAnsi="新宋体" w:eastAsia="新宋体"/>
          <w:bCs/>
        </w:rPr>
      </w:pPr>
      <w:r>
        <w:rPr>
          <w:rFonts w:hint="eastAsia" w:ascii="新宋体" w:hAnsi="新宋体" w:eastAsia="新宋体"/>
          <w:bCs/>
        </w:rPr>
        <w:t>三、提交成果</w:t>
      </w:r>
    </w:p>
    <w:p>
      <w:pPr>
        <w:spacing w:line="360" w:lineRule="auto"/>
        <w:ind w:firstLine="420" w:firstLineChars="200"/>
        <w:rPr>
          <w:rFonts w:hint="eastAsia" w:ascii="新宋体" w:hAnsi="新宋体" w:eastAsia="新宋体"/>
          <w:bCs/>
        </w:rPr>
      </w:pPr>
      <w:r>
        <w:rPr>
          <w:rFonts w:hint="eastAsia" w:ascii="新宋体" w:hAnsi="新宋体" w:eastAsia="新宋体"/>
          <w:bCs/>
        </w:rPr>
        <w:t>（1）福田区2024年建设用地土壤污染状况调查评审成果合集；</w:t>
      </w:r>
    </w:p>
    <w:p>
      <w:pPr>
        <w:spacing w:line="360" w:lineRule="auto"/>
        <w:ind w:firstLine="420" w:firstLineChars="200"/>
        <w:rPr>
          <w:rFonts w:hint="eastAsia" w:ascii="新宋体" w:hAnsi="新宋体" w:eastAsia="新宋体"/>
          <w:bCs/>
        </w:rPr>
      </w:pPr>
      <w:r>
        <w:rPr>
          <w:rFonts w:hint="eastAsia" w:ascii="新宋体" w:hAnsi="新宋体" w:eastAsia="新宋体"/>
          <w:bCs/>
        </w:rPr>
        <w:t>（2）（疑似）污染地块月度安全利用现场核查报告；</w:t>
      </w:r>
    </w:p>
    <w:p>
      <w:pPr>
        <w:spacing w:line="360" w:lineRule="auto"/>
        <w:ind w:firstLine="420" w:firstLineChars="200"/>
        <w:rPr>
          <w:rFonts w:hint="eastAsia" w:ascii="新宋体" w:hAnsi="新宋体" w:eastAsia="新宋体"/>
          <w:bCs/>
        </w:rPr>
      </w:pPr>
      <w:r>
        <w:rPr>
          <w:rFonts w:hint="eastAsia" w:ascii="新宋体" w:hAnsi="新宋体" w:eastAsia="新宋体"/>
          <w:bCs/>
        </w:rPr>
        <w:t>（3）福田区2024年土壤环境保护和质量提升工作总结报告。</w:t>
      </w:r>
    </w:p>
    <w:p>
      <w:pPr>
        <w:spacing w:line="360" w:lineRule="auto"/>
        <w:ind w:firstLine="420" w:firstLineChars="200"/>
        <w:rPr>
          <w:rFonts w:hint="eastAsia" w:ascii="新宋体" w:hAnsi="新宋体" w:eastAsia="新宋体"/>
          <w:bCs/>
        </w:rPr>
      </w:pPr>
      <w:r>
        <w:rPr>
          <w:rFonts w:hint="eastAsia" w:ascii="新宋体" w:hAnsi="新宋体" w:eastAsia="新宋体"/>
          <w:bCs/>
        </w:rPr>
        <w:t>四、人员要求</w:t>
      </w:r>
    </w:p>
    <w:p>
      <w:pPr>
        <w:spacing w:line="360" w:lineRule="auto"/>
        <w:ind w:firstLine="420" w:firstLineChars="200"/>
        <w:rPr>
          <w:rFonts w:hint="eastAsia" w:ascii="新宋体" w:hAnsi="新宋体" w:eastAsia="新宋体"/>
          <w:bCs/>
        </w:rPr>
      </w:pPr>
      <w:r>
        <w:rPr>
          <w:rFonts w:hint="eastAsia" w:ascii="新宋体" w:hAnsi="新宋体" w:eastAsia="新宋体"/>
          <w:bCs/>
        </w:rPr>
        <w:t>（1）人员素质：项目负责人及项目团队成员应具有相关工作经验，项目负责人具有高级工程师专业技术职称，项目团队成员具有环境类或安全类中级工程师以上职称。</w:t>
      </w:r>
    </w:p>
    <w:p>
      <w:pPr>
        <w:spacing w:line="360" w:lineRule="auto"/>
        <w:ind w:firstLine="420" w:firstLineChars="200"/>
        <w:rPr>
          <w:rFonts w:hint="eastAsia" w:ascii="新宋体" w:hAnsi="新宋体" w:eastAsia="新宋体"/>
          <w:bCs/>
        </w:rPr>
      </w:pPr>
      <w:r>
        <w:rPr>
          <w:rFonts w:hint="eastAsia" w:ascii="新宋体" w:hAnsi="新宋体" w:eastAsia="新宋体"/>
          <w:bCs/>
        </w:rPr>
        <w:t>（2）中标人工作人员人身安全、财产安全及人事管理由中标人负责，合作期间工作人员发生的人身安全等意外事故由中标人自行负责，与采购人无关。</w:t>
      </w:r>
    </w:p>
    <w:p>
      <w:pPr>
        <w:spacing w:line="360" w:lineRule="auto"/>
        <w:ind w:firstLine="420" w:firstLineChars="200"/>
        <w:rPr>
          <w:rFonts w:hint="eastAsia" w:ascii="新宋体" w:hAnsi="新宋体" w:eastAsia="新宋体"/>
          <w:bCs/>
        </w:rPr>
      </w:pPr>
      <w:r>
        <w:rPr>
          <w:rFonts w:hint="eastAsia" w:ascii="新宋体" w:hAnsi="新宋体" w:eastAsia="新宋体"/>
          <w:bCs/>
        </w:rPr>
        <w:t>五、其他要求</w:t>
      </w:r>
    </w:p>
    <w:p>
      <w:pPr>
        <w:spacing w:line="360" w:lineRule="auto"/>
        <w:ind w:firstLine="420" w:firstLineChars="200"/>
        <w:rPr>
          <w:rFonts w:hint="eastAsia" w:ascii="新宋体" w:hAnsi="新宋体" w:eastAsia="新宋体"/>
          <w:bCs/>
        </w:rPr>
      </w:pPr>
      <w:r>
        <w:rPr>
          <w:rFonts w:hint="eastAsia" w:ascii="新宋体" w:hAnsi="新宋体" w:eastAsia="新宋体"/>
          <w:bCs/>
        </w:rPr>
        <w:t>在合同期内，中标服务单位应配备项目所需的办公设备、仪器等，并满足项目所需的交通出行要求。</w:t>
      </w:r>
    </w:p>
    <w:p>
      <w:pPr>
        <w:spacing w:line="360" w:lineRule="auto"/>
        <w:ind w:firstLine="420" w:firstLineChars="200"/>
        <w:rPr>
          <w:rFonts w:hint="eastAsia" w:ascii="新宋体" w:hAnsi="新宋体" w:eastAsia="新宋体"/>
          <w:bCs/>
        </w:rPr>
      </w:pPr>
      <w:r>
        <w:rPr>
          <w:rFonts w:hint="eastAsia" w:ascii="新宋体" w:hAnsi="新宋体" w:eastAsia="新宋体"/>
          <w:bCs/>
        </w:rPr>
        <w:t>六、验收要求</w:t>
      </w:r>
    </w:p>
    <w:p>
      <w:pPr>
        <w:spacing w:line="360" w:lineRule="auto"/>
        <w:ind w:firstLine="420" w:firstLineChars="200"/>
        <w:rPr>
          <w:rFonts w:ascii="新宋体" w:hAnsi="新宋体" w:eastAsia="新宋体"/>
        </w:rPr>
      </w:pPr>
      <w:r>
        <w:rPr>
          <w:rFonts w:hint="eastAsia" w:ascii="新宋体" w:hAnsi="新宋体" w:eastAsia="新宋体"/>
          <w:bCs/>
        </w:rPr>
        <w:t>本项目由采购人组织按照合同约定对服务内容进行验收，验收按照市、区相关规定进行。验收依据为国家和行业有关规范、规程和标准</w:t>
      </w:r>
      <w:r>
        <w:rPr>
          <w:rFonts w:hint="eastAsia" w:ascii="新宋体" w:hAnsi="新宋体" w:eastAsia="新宋体"/>
        </w:rPr>
        <w:t>。</w:t>
      </w:r>
    </w:p>
    <w:p>
      <w:pPr>
        <w:rPr>
          <w:rFonts w:ascii="新宋体" w:hAnsi="新宋体" w:eastAsia="新宋体"/>
          <w:b/>
        </w:rPr>
      </w:pPr>
    </w:p>
    <w:p>
      <w:pPr>
        <w:pStyle w:val="4"/>
        <w:rPr>
          <w:rFonts w:ascii="新宋体" w:hAnsi="新宋体" w:eastAsia="新宋体"/>
          <w:kern w:val="44"/>
          <w:szCs w:val="28"/>
        </w:rPr>
      </w:pPr>
      <w:r>
        <w:rPr>
          <w:rFonts w:hint="eastAsia" w:ascii="新宋体" w:hAnsi="新宋体" w:eastAsia="新宋体"/>
          <w:kern w:val="44"/>
          <w:szCs w:val="28"/>
        </w:rPr>
        <w:t>五、项目商务要求</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支付要求</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szCs w:val="21"/>
        </w:rPr>
        <w:t>1、签订合同后，采购人在收到发票后</w:t>
      </w:r>
      <w:r>
        <w:rPr>
          <w:rFonts w:hint="eastAsia" w:ascii="宋体" w:hAnsi="宋体" w:cs="宋体"/>
          <w:szCs w:val="21"/>
          <w:u w:val="single"/>
        </w:rPr>
        <w:t>（15日）</w:t>
      </w:r>
      <w:r>
        <w:rPr>
          <w:rFonts w:hint="eastAsia" w:ascii="宋体" w:hAnsi="宋体" w:cs="宋体"/>
          <w:szCs w:val="21"/>
        </w:rPr>
        <w:t>内向中标人支付合同总价的</w:t>
      </w:r>
      <w:r>
        <w:rPr>
          <w:rFonts w:hint="eastAsia" w:ascii="宋体" w:hAnsi="宋体" w:cs="宋体"/>
          <w:szCs w:val="21"/>
          <w:u w:val="single"/>
        </w:rPr>
        <w:t xml:space="preserve">  </w:t>
      </w:r>
      <w:r>
        <w:rPr>
          <w:rFonts w:ascii="宋体" w:hAnsi="宋体" w:cs="宋体"/>
          <w:szCs w:val="21"/>
          <w:u w:val="single"/>
        </w:rPr>
        <w:t>40</w:t>
      </w:r>
      <w:r>
        <w:rPr>
          <w:rFonts w:hint="eastAsia" w:ascii="宋体" w:hAnsi="宋体" w:cs="宋体"/>
          <w:szCs w:val="21"/>
          <w:u w:val="single"/>
        </w:rPr>
        <w:t xml:space="preserve">  </w:t>
      </w:r>
      <w:r>
        <w:rPr>
          <w:rFonts w:hint="eastAsia" w:ascii="宋体" w:hAnsi="宋体" w:cs="宋体"/>
          <w:szCs w:val="21"/>
        </w:rPr>
        <w:t>%。</w:t>
      </w:r>
    </w:p>
    <w:p>
      <w:pPr>
        <w:tabs>
          <w:tab w:val="left" w:pos="780"/>
        </w:tabs>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2、项目中期验收合格后，采购人在收到发票后</w:t>
      </w:r>
      <w:r>
        <w:rPr>
          <w:rFonts w:hint="eastAsia" w:ascii="宋体" w:hAnsi="宋体" w:cs="宋体"/>
          <w:szCs w:val="21"/>
          <w:u w:val="single"/>
        </w:rPr>
        <w:t>（15日）</w:t>
      </w:r>
      <w:r>
        <w:rPr>
          <w:rFonts w:hint="eastAsia" w:ascii="宋体" w:hAnsi="宋体" w:cs="宋体"/>
          <w:szCs w:val="21"/>
        </w:rPr>
        <w:t>内向中标人支付合同总价的</w:t>
      </w:r>
      <w:r>
        <w:rPr>
          <w:rFonts w:hint="eastAsia" w:ascii="宋体" w:hAnsi="宋体" w:cs="宋体"/>
          <w:szCs w:val="21"/>
          <w:u w:val="single"/>
        </w:rPr>
        <w:t xml:space="preserve"> </w:t>
      </w:r>
      <w:r>
        <w:rPr>
          <w:rFonts w:ascii="宋体" w:hAnsi="宋体" w:cs="宋体"/>
          <w:szCs w:val="21"/>
          <w:u w:val="single"/>
        </w:rPr>
        <w:t>5</w:t>
      </w:r>
      <w:r>
        <w:rPr>
          <w:rFonts w:hint="eastAsia" w:ascii="宋体" w:hAnsi="宋体" w:cs="宋体"/>
          <w:szCs w:val="21"/>
          <w:u w:val="single"/>
        </w:rPr>
        <w:t xml:space="preserve"> </w:t>
      </w:r>
      <w:r>
        <w:rPr>
          <w:rFonts w:hint="eastAsia" w:ascii="宋体" w:hAnsi="宋体" w:cs="宋体"/>
          <w:szCs w:val="21"/>
        </w:rPr>
        <w:t>%；</w:t>
      </w:r>
    </w:p>
    <w:p>
      <w:pPr>
        <w:tabs>
          <w:tab w:val="left" w:pos="780"/>
        </w:tabs>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3、项目验收合格后，采购人在收到发票后</w:t>
      </w:r>
      <w:r>
        <w:rPr>
          <w:rFonts w:hint="eastAsia" w:ascii="宋体" w:hAnsi="宋体" w:cs="宋体"/>
          <w:szCs w:val="21"/>
          <w:u w:val="single"/>
        </w:rPr>
        <w:t>（15日）</w:t>
      </w:r>
      <w:r>
        <w:rPr>
          <w:rFonts w:hint="eastAsia" w:ascii="宋体" w:hAnsi="宋体" w:cs="宋体"/>
          <w:szCs w:val="21"/>
        </w:rPr>
        <w:t>内向中标人支付合同总价的</w:t>
      </w:r>
      <w:r>
        <w:rPr>
          <w:rFonts w:hint="eastAsia" w:ascii="宋体" w:hAnsi="宋体" w:cs="宋体"/>
          <w:szCs w:val="21"/>
          <w:u w:val="single"/>
        </w:rPr>
        <w:t xml:space="preserve">  </w:t>
      </w:r>
      <w:r>
        <w:rPr>
          <w:rFonts w:ascii="宋体" w:hAnsi="宋体" w:cs="宋体"/>
          <w:szCs w:val="21"/>
          <w:u w:val="single"/>
        </w:rPr>
        <w:t>55</w:t>
      </w:r>
      <w:r>
        <w:rPr>
          <w:rFonts w:hint="eastAsia" w:ascii="宋体" w:hAnsi="宋体" w:cs="宋体"/>
          <w:szCs w:val="21"/>
          <w:u w:val="single"/>
        </w:rPr>
        <w:t xml:space="preserve">  </w:t>
      </w:r>
      <w:r>
        <w:rPr>
          <w:rFonts w:hint="eastAsia" w:ascii="宋体" w:hAnsi="宋体" w:cs="宋体"/>
          <w:szCs w:val="21"/>
        </w:rPr>
        <w:t>%。</w:t>
      </w:r>
    </w:p>
    <w:p>
      <w:pPr>
        <w:tabs>
          <w:tab w:val="left" w:pos="780"/>
        </w:tabs>
        <w:adjustRightInd w:val="0"/>
        <w:snapToGrid w:val="0"/>
        <w:spacing w:line="360" w:lineRule="auto"/>
        <w:ind w:firstLine="420" w:firstLineChars="200"/>
        <w:rPr>
          <w:rFonts w:hint="eastAsia" w:ascii="宋体" w:hAnsi="宋体" w:cs="宋体"/>
          <w:color w:val="00B0F0"/>
          <w:szCs w:val="21"/>
        </w:rPr>
      </w:pPr>
      <w:r>
        <w:rPr>
          <w:rFonts w:hint="eastAsia" w:ascii="宋体" w:hAnsi="宋体" w:cs="宋体"/>
          <w:szCs w:val="21"/>
        </w:rPr>
        <w:t>4、每次</w:t>
      </w:r>
      <w:r>
        <w:rPr>
          <w:rFonts w:hint="eastAsia" w:ascii="宋体" w:hAnsi="宋体" w:cs="宋体"/>
          <w:szCs w:val="21"/>
          <w:lang w:eastAsia="zh-TW"/>
        </w:rPr>
        <w:t>按合同支付款项前，中标人</w:t>
      </w:r>
      <w:r>
        <w:rPr>
          <w:rFonts w:hint="eastAsia" w:ascii="宋体" w:hAnsi="宋体" w:cs="宋体"/>
          <w:szCs w:val="21"/>
        </w:rPr>
        <w:t>应</w:t>
      </w:r>
      <w:r>
        <w:rPr>
          <w:rFonts w:hint="eastAsia" w:ascii="宋体" w:hAnsi="宋体" w:cs="宋体"/>
          <w:szCs w:val="21"/>
          <w:lang w:eastAsia="zh-TW"/>
        </w:rPr>
        <w:t>向采购人提供与支付金额相符的有效发票，且收款方、出具发票方、合同乙方均必须与中标人名称一致；</w:t>
      </w:r>
    </w:p>
    <w:p>
      <w:pPr>
        <w:tabs>
          <w:tab w:val="left" w:pos="780"/>
        </w:tabs>
        <w:adjustRightInd w:val="0"/>
        <w:snapToGrid w:val="0"/>
        <w:spacing w:line="360" w:lineRule="auto"/>
        <w:ind w:firstLine="420" w:firstLineChars="200"/>
        <w:rPr>
          <w:rFonts w:hint="eastAsia" w:ascii="宋体" w:hAnsi="宋体" w:cs="宋体"/>
          <w:color w:val="00B0F0"/>
          <w:szCs w:val="21"/>
        </w:rPr>
      </w:pPr>
      <w:r>
        <w:rPr>
          <w:rFonts w:hint="eastAsia" w:ascii="宋体" w:hAnsi="Courier New"/>
          <w:szCs w:val="20"/>
        </w:rPr>
        <w:t>5、若</w:t>
      </w:r>
      <w:r>
        <w:rPr>
          <w:rFonts w:ascii="宋体" w:hAnsi="Courier New"/>
          <w:szCs w:val="20"/>
        </w:rPr>
        <w:t>中标人</w:t>
      </w:r>
      <w:r>
        <w:rPr>
          <w:rFonts w:hint="eastAsia" w:ascii="宋体" w:hAnsi="Courier New"/>
          <w:szCs w:val="20"/>
        </w:rPr>
        <w:t>在辅助开展土壤污染防治生态文明考核工作中造成失分</w:t>
      </w:r>
      <w:r>
        <w:rPr>
          <w:rFonts w:ascii="宋体" w:hAnsi="Courier New"/>
          <w:szCs w:val="20"/>
        </w:rPr>
        <w:t>，则应由中标人承担违约责任，在剩余尾款中扣除金额2</w:t>
      </w:r>
      <w:r>
        <w:rPr>
          <w:rFonts w:hint="eastAsia" w:ascii="宋体" w:hAnsi="Courier New"/>
          <w:szCs w:val="20"/>
        </w:rPr>
        <w:t>万元</w:t>
      </w:r>
      <w:r>
        <w:rPr>
          <w:rFonts w:ascii="宋体" w:hAnsi="Courier New"/>
          <w:szCs w:val="20"/>
        </w:rPr>
        <w:t>。</w:t>
      </w:r>
    </w:p>
    <w:p>
      <w:pPr>
        <w:tabs>
          <w:tab w:val="left" w:pos="780"/>
        </w:tabs>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注意：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合同服务期限</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1、项目服务期限：本项目合同服务期自合同约定之日起十二个月。</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2、本项目为长期服务项目，政府采购合同一年一签，履行期限最长不得超过三十六个月。如甲方对履约情况不满意，甲方不再续约。</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3、售后服务期限：项目完成由采购人验收通过后进入售后服务期1年，中标人要在售后服务期限内提供相关咨询、协调和项目审查等技术支持。</w:t>
      </w:r>
    </w:p>
    <w:p>
      <w:pPr>
        <w:numPr>
          <w:ilvl w:val="0"/>
          <w:numId w:val="1"/>
        </w:numPr>
        <w:tabs>
          <w:tab w:val="left" w:pos="540"/>
        </w:tabs>
        <w:adjustRightInd w:val="0"/>
        <w:snapToGrid w:val="0"/>
        <w:spacing w:line="360" w:lineRule="auto"/>
        <w:rPr>
          <w:rFonts w:hint="eastAsia" w:ascii="宋体" w:hAnsi="宋体" w:cs="宋体"/>
          <w:b/>
          <w:color w:val="000000"/>
          <w:szCs w:val="21"/>
        </w:rPr>
      </w:pPr>
      <w:r>
        <w:rPr>
          <w:rFonts w:hint="eastAsia" w:ascii="宋体" w:hAnsi="宋体" w:cs="宋体"/>
          <w:b/>
          <w:color w:val="000000"/>
          <w:szCs w:val="21"/>
        </w:rPr>
        <w:t>保密要求</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2、中标人在履行合同过程中所获得或接触到的任何内部数据资料，未经采购人同意，不得向第三方透露；</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3、中标人实施项目的一切程序都应符合国家安全、保密的有关规定和标号招标文件、中标人投标文件，国家和行业有关规范、规程和标准；</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4、中标人参加项目的有关人员由中标人负责进行保密意识培训，履行保密义务；</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5、合同履行完毕，未经采购人的书面同意，中标人不得保存在履行合同过程中所获得或接触到的任何内部数据资料、项目成果。若中标人违反咨询服务资料归属的约定，由此造成采购人损失或第三人的损失均由中标人承担。</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廉洁承诺</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1、中标人应加强对参加项目的有关人员进行法律、法规、规章、政策等的教育工作，切实要求参加项目的有关人员不得利用工作便利从事违法、违规活动，做到依法履职、廉洁自律；</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2、中标人参与项目相关人员严格遵守工作纪律，不利用工作便利和掌握的内部秘密为本人或者他人从事牟利活动提供方便，不发生损害采购人利益的行为；</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3、中标人应了解采购人有关廉政建设的各项制度和规定，支持采购人执行有关规定和制度，通过正常途径开展业务工作，不得为获取某些不正当利益而向采购人工作人员赠送礼金、有价证券或贵重物品等。</w:t>
      </w:r>
    </w:p>
    <w:p>
      <w:pPr>
        <w:numPr>
          <w:ilvl w:val="0"/>
          <w:numId w:val="1"/>
        </w:numPr>
        <w:tabs>
          <w:tab w:val="left" w:pos="540"/>
        </w:tabs>
        <w:adjustRightInd w:val="0"/>
        <w:snapToGrid w:val="0"/>
        <w:spacing w:line="360" w:lineRule="auto"/>
        <w:rPr>
          <w:rFonts w:hint="eastAsia" w:ascii="宋体" w:hAnsi="宋体" w:cs="宋体"/>
          <w:kern w:val="0"/>
          <w:szCs w:val="21"/>
        </w:rPr>
      </w:pPr>
      <w:r>
        <w:rPr>
          <w:rFonts w:hint="eastAsia" w:ascii="宋体" w:hAnsi="宋体" w:cs="宋体"/>
          <w:b/>
          <w:bCs/>
          <w:color w:val="000000"/>
          <w:szCs w:val="21"/>
        </w:rPr>
        <w:t>★违约责任</w:t>
      </w:r>
      <w:r>
        <w:rPr>
          <w:rFonts w:hint="eastAsia" w:ascii="宋体" w:hAnsi="宋体" w:cs="宋体"/>
          <w:b/>
          <w:bCs/>
          <w:color w:val="000000"/>
          <w:szCs w:val="21"/>
        </w:rPr>
        <w:tab/>
      </w:r>
    </w:p>
    <w:p>
      <w:pPr>
        <w:tabs>
          <w:tab w:val="left" w:pos="540"/>
          <w:tab w:val="left" w:pos="780"/>
        </w:tabs>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2、如中标人提供的技术服务或技术服务文件不符合质量要求，必须在采购人提出要求后7天内无条件修改，其费用由中标人承担。</w:t>
      </w:r>
      <w:r>
        <w:rPr>
          <w:rFonts w:hint="eastAsia" w:ascii="宋体" w:hAnsi="宋体" w:cs="宋体"/>
          <w:szCs w:val="21"/>
        </w:rPr>
        <w:t>中标人经修改后</w:t>
      </w:r>
      <w:r>
        <w:rPr>
          <w:rFonts w:hint="eastAsia" w:ascii="宋体" w:hAnsi="宋体" w:cs="宋体"/>
          <w:kern w:val="0"/>
          <w:szCs w:val="21"/>
        </w:rPr>
        <w:t>提供的技术服务或技术服务文件</w:t>
      </w:r>
      <w:r>
        <w:rPr>
          <w:rFonts w:hint="eastAsia" w:ascii="宋体" w:hAnsi="宋体" w:cs="宋体"/>
          <w:szCs w:val="21"/>
        </w:rPr>
        <w:t>仍</w:t>
      </w:r>
      <w:r>
        <w:rPr>
          <w:rFonts w:hint="eastAsia" w:ascii="宋体" w:hAnsi="宋体" w:cs="宋体"/>
          <w:kern w:val="0"/>
          <w:szCs w:val="21"/>
        </w:rPr>
        <w:t>不符合质量要求的</w:t>
      </w:r>
      <w:r>
        <w:rPr>
          <w:rFonts w:hint="eastAsia" w:ascii="宋体" w:hAnsi="宋体" w:cs="宋体"/>
          <w:szCs w:val="21"/>
        </w:rPr>
        <w:t>，</w:t>
      </w:r>
      <w:r>
        <w:rPr>
          <w:rFonts w:hint="eastAsia" w:ascii="宋体" w:hAnsi="宋体" w:cs="宋体"/>
          <w:kern w:val="0"/>
          <w:szCs w:val="21"/>
        </w:rPr>
        <w:t>采购人有权解除合同，中标人应当返还采购人已支付款项并向采购人支付采购合同总价款20%的违约金；</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3、如中标人违反保密义务或提供的项目服务或项目成果侵犯第三方知识产权的，采购人有权解除合同，中标人应当返还采购人已支付款项并向采购人支付采购合同总价款20%的违约金；</w:t>
      </w:r>
    </w:p>
    <w:p>
      <w:pPr>
        <w:tabs>
          <w:tab w:val="left" w:pos="540"/>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4、未经采购人同意，中标人不得将项目转包或分包给其他第三方，如若违反，采购人有权解除合同，中标人应当返还采购人已支付的款项并向采购人支付采购合同总价款20%的违约金。</w:t>
      </w:r>
    </w:p>
    <w:p>
      <w:pPr>
        <w:numPr>
          <w:ilvl w:val="0"/>
          <w:numId w:val="1"/>
        </w:numPr>
        <w:tabs>
          <w:tab w:val="left" w:pos="540"/>
        </w:tabs>
        <w:adjustRightInd w:val="0"/>
        <w:snapToGrid w:val="0"/>
        <w:spacing w:line="360" w:lineRule="auto"/>
        <w:rPr>
          <w:rFonts w:hint="eastAsia" w:ascii="宋体" w:hAnsi="宋体" w:cs="宋体"/>
          <w:szCs w:val="21"/>
        </w:rPr>
      </w:pPr>
      <w:r>
        <w:rPr>
          <w:rFonts w:hint="eastAsia" w:ascii="宋体" w:hAnsi="宋体" w:cs="宋体"/>
          <w:b/>
          <w:bCs/>
          <w:color w:val="000000"/>
          <w:szCs w:val="21"/>
        </w:rPr>
        <w:t>合同的变更</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1、在合同履行过程中，采购人、中标人双方可就合同履行的时间、地点和方式等协商进行变更。协商一致后，双方应签订书面的补充协议。</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2、除了双方签署书面协议，并成为合同不可分割的一部分之外，合同条件不得有任何变更。</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合同转让和分包</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1、中标人不得以任何形式部分或全部转让其应履行的合同义务。</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2、除非在投标文件中提出的分包项目和建议的分包人，中标人不得采用分包方式履行合同。</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3、在合同实施过程中，除非中标人违约，采购人不得指定分包人。</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解决争议的方法</w:t>
      </w:r>
      <w:r>
        <w:rPr>
          <w:rFonts w:hint="eastAsia" w:ascii="宋体" w:hAnsi="宋体" w:cs="宋体"/>
          <w:b/>
          <w:bCs/>
          <w:color w:val="000000"/>
          <w:szCs w:val="21"/>
        </w:rPr>
        <w:tab/>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1、合同各方应通过友好协商，解决在执行合同过程中所发生的或与合同有关的一切争端。</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2、如从协商开始28天内仍不能解决，任一方可向采购人所在地的人民法院提起诉讼。</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3、在诉讼期间，除正在进行诉讼的部分外，合同的其他部分应继续执行。</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合同语言</w:t>
      </w:r>
      <w:r>
        <w:rPr>
          <w:rFonts w:hint="eastAsia" w:ascii="宋体" w:hAnsi="宋体" w:cs="宋体"/>
          <w:b/>
          <w:bCs/>
          <w:color w:val="000000"/>
          <w:szCs w:val="21"/>
        </w:rPr>
        <w:tab/>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1、合同以及双方来住的与合同有关的信件、传真和其它文件应用中文书写。</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法律适用</w:t>
      </w:r>
      <w:r>
        <w:rPr>
          <w:rFonts w:hint="eastAsia" w:ascii="宋体" w:hAnsi="宋体" w:cs="宋体"/>
          <w:b/>
          <w:bCs/>
          <w:color w:val="000000"/>
          <w:szCs w:val="21"/>
        </w:rPr>
        <w:tab/>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1、合同适用中华人民共和国现行法律、行政法规和规章，如合同条款与法律、行政法规和规章不一致的，按照法律、行政法规和规章修改合同。</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通知</w:t>
      </w:r>
      <w:r>
        <w:rPr>
          <w:rFonts w:hint="eastAsia" w:ascii="宋体" w:hAnsi="宋体" w:cs="宋体"/>
          <w:b/>
          <w:bCs/>
          <w:color w:val="000000"/>
          <w:szCs w:val="21"/>
        </w:rPr>
        <w:tab/>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1、合同一方给另一方的通知均应采用书面形式，传真或快递送到对方的地址和办理签收手续。</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2、通知以送到之日或通知书中规定的生效之日起生效，两者中以较迟之日为准。</w:t>
      </w:r>
    </w:p>
    <w:p>
      <w:pPr>
        <w:numPr>
          <w:ilvl w:val="0"/>
          <w:numId w:val="1"/>
        </w:numPr>
        <w:tabs>
          <w:tab w:val="left" w:pos="540"/>
        </w:tabs>
        <w:adjustRightInd w:val="0"/>
        <w:snapToGrid w:val="0"/>
        <w:spacing w:line="360" w:lineRule="auto"/>
        <w:rPr>
          <w:rFonts w:hint="eastAsia" w:ascii="宋体" w:hAnsi="宋体" w:cs="宋体"/>
          <w:b/>
          <w:bCs/>
          <w:szCs w:val="21"/>
        </w:rPr>
      </w:pPr>
      <w:r>
        <w:rPr>
          <w:rFonts w:hint="eastAsia" w:ascii="宋体" w:hAnsi="宋体" w:cs="宋体"/>
          <w:b/>
          <w:bCs/>
          <w:szCs w:val="21"/>
        </w:rPr>
        <w:t>★知识产权合规承诺</w:t>
      </w:r>
      <w:r>
        <w:rPr>
          <w:rFonts w:hint="eastAsia" w:ascii="宋体" w:hAnsi="宋体" w:cs="宋体"/>
          <w:b/>
          <w:bCs/>
          <w:szCs w:val="21"/>
        </w:rPr>
        <w:tab/>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1、中标人在履行合同的过程中不得侵犯他人知识产权，不得提供虚假知识产权申请材料或者违背知识产权合规性承诺，否则依法追究其违约等责任，并将其失信违法信息依法纳入公共信用信息系统。</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bCs/>
          <w:kern w:val="0"/>
          <w:szCs w:val="21"/>
        </w:rPr>
        <w:t>3、中标人实施本项目所形成成果的知识产权归采购人所有，未经采购人许可，中标人不得随意使用。</w:t>
      </w:r>
    </w:p>
    <w:p>
      <w:pPr>
        <w:numPr>
          <w:ilvl w:val="0"/>
          <w:numId w:val="1"/>
        </w:numPr>
        <w:tabs>
          <w:tab w:val="left" w:pos="540"/>
        </w:tabs>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合同解除和终止</w:t>
      </w:r>
      <w:r>
        <w:rPr>
          <w:rFonts w:hint="eastAsia" w:ascii="宋体" w:hAnsi="宋体" w:cs="宋体"/>
          <w:b/>
          <w:bCs/>
          <w:color w:val="000000"/>
          <w:szCs w:val="21"/>
        </w:rPr>
        <w:tab/>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pPr>
        <w:numPr>
          <w:ilvl w:val="0"/>
          <w:numId w:val="1"/>
        </w:numPr>
        <w:tabs>
          <w:tab w:val="left" w:pos="540"/>
        </w:tabs>
        <w:adjustRightInd w:val="0"/>
        <w:snapToGrid w:val="0"/>
        <w:spacing w:line="360" w:lineRule="auto"/>
        <w:rPr>
          <w:rFonts w:hint="eastAsia"/>
        </w:rPr>
      </w:pPr>
      <w:r>
        <w:rPr>
          <w:rFonts w:hint="eastAsia" w:ascii="宋体" w:hAnsi="宋体" w:cs="宋体"/>
          <w:b/>
          <w:bCs/>
          <w:color w:val="000000"/>
          <w:szCs w:val="21"/>
        </w:rPr>
        <w:t>税费</w:t>
      </w:r>
      <w:r>
        <w:rPr>
          <w:rFonts w:hint="eastAsia" w:ascii="宋体" w:hAnsi="宋体" w:cs="宋体"/>
          <w:b/>
          <w:bCs/>
          <w:color w:val="000000"/>
          <w:szCs w:val="21"/>
        </w:rPr>
        <w:tab/>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00" w:firstLineChars="200"/>
        <w:rPr>
          <w:rFonts w:hint="eastAsia" w:ascii="宋体" w:hAnsi="宋体" w:cs="宋体"/>
          <w:kern w:val="0"/>
          <w:szCs w:val="21"/>
        </w:rPr>
      </w:pPr>
      <w:r>
        <w:rPr>
          <w:rFonts w:hint="eastAsia" w:ascii="宋体" w:hAnsi="宋体" w:cs="宋体"/>
          <w:kern w:val="0"/>
          <w:sz w:val="20"/>
          <w:szCs w:val="21"/>
        </w:rPr>
        <w:t>中国政府根据现行税法向中标人征收的与合同有关的一切税费均由中标人负责。</w:t>
      </w:r>
    </w:p>
    <w:p>
      <w:pPr>
        <w:numPr>
          <w:ilvl w:val="0"/>
          <w:numId w:val="1"/>
        </w:numPr>
        <w:tabs>
          <w:tab w:val="left" w:pos="540"/>
        </w:tabs>
        <w:adjustRightInd w:val="0"/>
        <w:snapToGrid w:val="0"/>
        <w:spacing w:line="360" w:lineRule="auto"/>
        <w:rPr>
          <w:rFonts w:hint="eastAsia"/>
        </w:rPr>
      </w:pPr>
      <w:r>
        <w:rPr>
          <w:rFonts w:hint="eastAsia" w:ascii="宋体" w:hAnsi="宋体" w:cs="宋体"/>
          <w:b/>
          <w:bCs/>
          <w:color w:val="000000"/>
          <w:szCs w:val="21"/>
        </w:rPr>
        <w:t>其他事项</w:t>
      </w:r>
      <w:r>
        <w:rPr>
          <w:rFonts w:hint="eastAsia" w:ascii="宋体" w:hAnsi="宋体" w:cs="宋体"/>
          <w:b/>
          <w:bCs/>
          <w:color w:val="000000"/>
          <w:szCs w:val="21"/>
        </w:rPr>
        <w:tab/>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1、服务人员需具备服务技术要求资质与能力；中标人应根据工作内容和进度，安排满足项目工作要求的人员、并配套相关设施（含交通工具等）等，以确保能够保质保量完成任务；</w:t>
      </w:r>
    </w:p>
    <w:p>
      <w:pPr>
        <w:tabs>
          <w:tab w:val="left" w:pos="780"/>
        </w:tabs>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2、中标人应根据服务的内容和进度安排，定期向采购人提交相关书面材料（包括阶段性工作报告、调研分析报告、企业资料等）；</w:t>
      </w:r>
    </w:p>
    <w:p>
      <w:pPr>
        <w:pStyle w:val="8"/>
        <w:ind w:firstLine="420" w:firstLineChars="200"/>
        <w:rPr>
          <w:rFonts w:hAnsi="宋体" w:cs="宋体"/>
          <w:kern w:val="0"/>
          <w:sz w:val="21"/>
          <w:szCs w:val="21"/>
        </w:rPr>
      </w:pPr>
      <w:r>
        <w:rPr>
          <w:rFonts w:hint="eastAsia" w:hAnsi="宋体" w:cs="宋体"/>
          <w:kern w:val="0"/>
          <w:sz w:val="21"/>
          <w:szCs w:val="21"/>
        </w:rPr>
        <w:t>3、中标人工作人员人身安全、财产安全及人事管理由中标人负责，合作期间工作人员发生的人身安全、财产安全等意外事故由中标人自行负责，与采购人无关。</w:t>
      </w:r>
    </w:p>
    <w:p>
      <w:pPr>
        <w:pStyle w:val="4"/>
        <w:rPr>
          <w:rFonts w:ascii="新宋体" w:hAnsi="新宋体" w:eastAsia="新宋体"/>
          <w:kern w:val="44"/>
          <w:szCs w:val="28"/>
        </w:rPr>
      </w:pPr>
      <w:r>
        <w:rPr>
          <w:rFonts w:hint="eastAsia" w:ascii="新宋体" w:hAnsi="新宋体" w:eastAsia="新宋体"/>
          <w:kern w:val="44"/>
          <w:szCs w:val="28"/>
        </w:rPr>
        <w:t>六、投标报价</w:t>
      </w:r>
    </w:p>
    <w:p>
      <w:pPr>
        <w:spacing w:line="360" w:lineRule="auto"/>
        <w:rPr>
          <w:rFonts w:hint="eastAsia" w:ascii="新宋体" w:hAnsi="新宋体" w:eastAsia="新宋体" w:cs="宋体"/>
          <w:szCs w:val="21"/>
        </w:rPr>
      </w:pPr>
      <w:r>
        <w:rPr>
          <w:rFonts w:hint="eastAsia" w:ascii="新宋体" w:hAnsi="新宋体" w:eastAsia="新宋体" w:cs="宋体"/>
          <w:szCs w:val="21"/>
        </w:rPr>
        <w:t>1、</w:t>
      </w:r>
      <w:r>
        <w:rPr>
          <w:rFonts w:hint="eastAsia" w:ascii="新宋体" w:hAnsi="新宋体" w:eastAsia="新宋体" w:cs="宋体"/>
          <w:szCs w:val="21"/>
        </w:rPr>
        <w:tab/>
      </w:r>
      <w:r>
        <w:rPr>
          <w:rFonts w:hint="eastAsia" w:ascii="新宋体" w:hAnsi="新宋体" w:eastAsia="新宋体" w:cs="宋体"/>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hint="eastAsia" w:ascii="新宋体" w:hAnsi="新宋体" w:eastAsia="新宋体" w:cs="宋体"/>
          <w:szCs w:val="21"/>
        </w:rPr>
      </w:pPr>
      <w:r>
        <w:rPr>
          <w:rFonts w:hint="eastAsia" w:ascii="新宋体" w:hAnsi="新宋体" w:eastAsia="新宋体" w:cs="宋体"/>
          <w:szCs w:val="21"/>
        </w:rPr>
        <w:t>2、</w:t>
      </w:r>
      <w:r>
        <w:rPr>
          <w:rFonts w:hint="eastAsia" w:ascii="新宋体" w:hAnsi="新宋体" w:eastAsia="新宋体" w:cs="宋体"/>
          <w:szCs w:val="21"/>
        </w:rPr>
        <w:tab/>
      </w:r>
      <w:r>
        <w:rPr>
          <w:rFonts w:hint="eastAsia" w:ascii="新宋体" w:hAnsi="新宋体" w:eastAsia="新宋体" w:cs="宋体"/>
          <w:szCs w:val="21"/>
        </w:rPr>
        <w:t>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hint="eastAsia" w:ascii="新宋体" w:hAnsi="新宋体" w:eastAsia="新宋体" w:cs="宋体"/>
          <w:szCs w:val="21"/>
        </w:rPr>
      </w:pPr>
      <w:r>
        <w:rPr>
          <w:rFonts w:hint="eastAsia" w:ascii="新宋体" w:hAnsi="新宋体" w:eastAsia="新宋体" w:cs="宋体"/>
          <w:szCs w:val="21"/>
        </w:rPr>
        <w:t>3、</w:t>
      </w:r>
      <w:r>
        <w:rPr>
          <w:rFonts w:hint="eastAsia" w:ascii="新宋体" w:hAnsi="新宋体" w:eastAsia="新宋体" w:cs="宋体"/>
          <w:szCs w:val="21"/>
        </w:rPr>
        <w:tab/>
      </w:r>
      <w:r>
        <w:rPr>
          <w:rFonts w:hint="eastAsia" w:ascii="新宋体" w:hAnsi="新宋体" w:eastAsia="新宋体" w:cs="宋体"/>
          <w:szCs w:val="21"/>
        </w:rPr>
        <w:t>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hint="eastAsia" w:ascii="新宋体" w:hAnsi="新宋体" w:eastAsia="新宋体" w:cs="宋体"/>
          <w:szCs w:val="21"/>
        </w:rPr>
      </w:pPr>
      <w:r>
        <w:rPr>
          <w:rFonts w:hint="eastAsia" w:ascii="新宋体" w:hAnsi="新宋体" w:eastAsia="新宋体" w:cs="宋体"/>
          <w:szCs w:val="21"/>
        </w:rPr>
        <w:t>4、</w:t>
      </w:r>
      <w:r>
        <w:rPr>
          <w:rFonts w:hint="eastAsia" w:ascii="新宋体" w:hAnsi="新宋体" w:eastAsia="新宋体" w:cs="宋体"/>
          <w:szCs w:val="21"/>
        </w:rPr>
        <w:tab/>
      </w:r>
      <w:r>
        <w:rPr>
          <w:rFonts w:hint="eastAsia" w:ascii="新宋体" w:hAnsi="新宋体" w:eastAsia="新宋体" w:cs="宋体"/>
          <w:szCs w:val="21"/>
        </w:rPr>
        <w:t>投标人应充分了解项目的位置、情况、道路及任何其它足以影响投标报价的情况，任何因忽视或误解项目情况而导致的索赔或服务期限延长申请将不获批准。</w:t>
      </w:r>
    </w:p>
    <w:p>
      <w:pPr>
        <w:spacing w:line="360" w:lineRule="auto"/>
        <w:rPr>
          <w:rFonts w:hint="eastAsia" w:ascii="新宋体" w:hAnsi="新宋体" w:eastAsia="新宋体" w:cs="宋体"/>
          <w:szCs w:val="21"/>
        </w:rPr>
      </w:pPr>
      <w:r>
        <w:rPr>
          <w:rFonts w:hint="eastAsia" w:ascii="新宋体" w:hAnsi="新宋体" w:eastAsia="新宋体" w:cs="宋体"/>
          <w:szCs w:val="21"/>
        </w:rPr>
        <w:t>5、</w:t>
      </w:r>
      <w:r>
        <w:rPr>
          <w:rFonts w:hint="eastAsia" w:ascii="新宋体" w:hAnsi="新宋体" w:eastAsia="新宋体" w:cs="宋体"/>
          <w:szCs w:val="21"/>
        </w:rPr>
        <w:tab/>
      </w:r>
      <w:r>
        <w:rPr>
          <w:rFonts w:hint="eastAsia" w:ascii="新宋体" w:hAnsi="新宋体" w:eastAsia="新宋体" w:cs="宋体"/>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pPr>
        <w:spacing w:line="360" w:lineRule="auto"/>
        <w:rPr>
          <w:rFonts w:ascii="新宋体" w:hAnsi="新宋体" w:eastAsia="新宋体" w:cs="宋体"/>
          <w:szCs w:val="21"/>
        </w:rPr>
      </w:pPr>
      <w:r>
        <w:rPr>
          <w:rFonts w:hint="eastAsia" w:ascii="新宋体" w:hAnsi="新宋体" w:eastAsia="新宋体" w:cs="宋体"/>
          <w:szCs w:val="21"/>
        </w:rPr>
        <w:t>6、</w:t>
      </w:r>
      <w:r>
        <w:rPr>
          <w:rFonts w:hint="eastAsia" w:ascii="新宋体" w:hAnsi="新宋体" w:eastAsia="新宋体" w:cs="宋体"/>
          <w:szCs w:val="21"/>
        </w:rPr>
        <w:tab/>
      </w:r>
      <w:r>
        <w:rPr>
          <w:rFonts w:hint="eastAsia" w:ascii="新宋体" w:hAnsi="新宋体" w:eastAsia="新宋体" w:cs="宋体"/>
          <w:szCs w:val="21"/>
        </w:rPr>
        <w:t>投标人须考虑本项目在实施期间的一切可能产生的费用。在项目实施过程中，如项目工作范围发生变更，由中标人和采购人双方协商解决；其余情况下，投标总价均不予调整。</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AC778E"/>
    <w:multiLevelType w:val="multilevel"/>
    <w:tmpl w:val="25AC778E"/>
    <w:lvl w:ilvl="0" w:tentative="0">
      <w:start w:val="1"/>
      <w:numFmt w:val="japaneseCounting"/>
      <w:lvlText w:val="%1、"/>
      <w:lvlJc w:val="left"/>
      <w:pPr>
        <w:tabs>
          <w:tab w:val="left" w:pos="420"/>
        </w:tabs>
        <w:ind w:left="420" w:hanging="420"/>
      </w:pPr>
      <w:rPr>
        <w:rFonts w:hint="eastAsia" w:ascii="宋体" w:hAnsi="宋体" w:eastAsia="宋体" w:cs="Courier New"/>
        <w:b/>
        <w:bCs/>
        <w:color w:val="auto"/>
      </w:rPr>
    </w:lvl>
    <w:lvl w:ilvl="1" w:tentative="0">
      <w:start w:val="1"/>
      <w:numFmt w:val="decimal"/>
      <w:lvlText w:val="%2、"/>
      <w:lvlJc w:val="left"/>
      <w:rPr>
        <w:rFonts w:hint="default" w:ascii="宋体" w:hAnsi="宋体" w:eastAsia="宋体" w:cs="宋体"/>
        <w:b w:val="0"/>
        <w:color w:val="auto"/>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000000"/>
    <w:rsid w:val="596D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4"/>
    <w:next w:val="5"/>
    <w:qFormat/>
    <w:uiPriority w:val="0"/>
    <w:pPr>
      <w:adjustRightInd w:val="0"/>
      <w:jc w:val="center"/>
      <w:textAlignment w:val="baseline"/>
      <w:outlineLvl w:val="1"/>
    </w:pPr>
    <w:rPr>
      <w:kern w:val="0"/>
      <w:sz w:val="24"/>
      <w:szCs w:val="20"/>
    </w:rPr>
  </w:style>
  <w:style w:type="paragraph" w:styleId="4">
    <w:name w:val="heading 3"/>
    <w:basedOn w:val="5"/>
    <w:next w:val="1"/>
    <w:qFormat/>
    <w:uiPriority w:val="0"/>
    <w:pPr>
      <w:spacing w:before="260" w:after="260" w:line="240" w:lineRule="auto"/>
      <w:outlineLvl w:val="2"/>
    </w:pPr>
    <w:rPr>
      <w:rFonts w:ascii="宋体" w:hAnsi="宋体" w:eastAsia="宋体"/>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customStyle="1" w:styleId="8">
    <w:name w:val="文字"/>
    <w:basedOn w:val="1"/>
    <w:autoRedefine/>
    <w:qFormat/>
    <w:uiPriority w:val="0"/>
    <w:pPr>
      <w:tabs>
        <w:tab w:val="left" w:pos="8520"/>
      </w:tabs>
      <w:spacing w:line="312" w:lineRule="auto"/>
      <w:ind w:right="-210" w:firstLine="2381" w:firstLineChars="1134"/>
    </w:pPr>
    <w:rPr>
      <w:rFonts w:ascii="宋体"/>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2024-03-04T08:11:04Z</dcterms:created>
  <dc:creator>WF</dc:creator>
  <cp:lastModifiedBy>WF</cp:lastModifiedBy>
  <dcterms:modified xsi:type="dcterms:W3CDTF">2024-03-04T08:11:05Z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2E7EF8363FC7434A907732F63E6AFD3D_12</vt:lpwstr>
  </property>
</Properties>
</file>