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B4763" w14:textId="77777777" w:rsidR="008C5917" w:rsidRPr="008C5917" w:rsidRDefault="008C5917" w:rsidP="008C5917">
      <w:pPr>
        <w:keepNext/>
        <w:keepLines/>
        <w:spacing w:before="260" w:after="260"/>
        <w:outlineLvl w:val="2"/>
        <w:rPr>
          <w:rFonts w:ascii="新宋体" w:eastAsia="新宋体" w:hAnsi="新宋体" w:cs="Times New Roman"/>
          <w:b/>
          <w:bCs/>
          <w:kern w:val="44"/>
          <w:sz w:val="28"/>
          <w:szCs w:val="28"/>
        </w:rPr>
      </w:pPr>
      <w:r w:rsidRPr="008C5917">
        <w:rPr>
          <w:rFonts w:ascii="新宋体" w:eastAsia="新宋体" w:hAnsi="新宋体" w:cs="Times New Roman" w:hint="eastAsia"/>
          <w:b/>
          <w:bCs/>
          <w:kern w:val="44"/>
          <w:sz w:val="28"/>
          <w:szCs w:val="28"/>
        </w:rPr>
        <w:t>三、项目概况</w:t>
      </w:r>
    </w:p>
    <w:p w14:paraId="12FEA30B"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（一）</w:t>
      </w:r>
      <w:r w:rsidRPr="008C5917">
        <w:rPr>
          <w:rFonts w:ascii="新宋体" w:eastAsia="新宋体" w:hAnsi="新宋体" w:cs="宋体"/>
          <w:szCs w:val="21"/>
        </w:rPr>
        <w:t>预算</w:t>
      </w:r>
      <w:r w:rsidRPr="008C5917">
        <w:rPr>
          <w:rFonts w:ascii="新宋体" w:eastAsia="新宋体" w:hAnsi="新宋体" w:cs="宋体" w:hint="eastAsia"/>
          <w:szCs w:val="21"/>
        </w:rPr>
        <w:t>金额: 人民币伍拾柒万伍仟元（￥575,000.00），</w:t>
      </w:r>
      <w:r w:rsidRPr="008C5917">
        <w:rPr>
          <w:rFonts w:ascii="新宋体" w:eastAsia="新宋体" w:hAnsi="新宋体" w:cs="宋体"/>
          <w:szCs w:val="21"/>
        </w:rPr>
        <w:t>最高投标限价</w:t>
      </w:r>
      <w:r w:rsidRPr="008C5917">
        <w:rPr>
          <w:rFonts w:ascii="新宋体" w:eastAsia="新宋体" w:hAnsi="新宋体" w:cs="宋体" w:hint="eastAsia"/>
          <w:szCs w:val="21"/>
        </w:rPr>
        <w:t>: 人民币伍拾柒万伍仟元（￥575,000.00）。</w:t>
      </w:r>
    </w:p>
    <w:p w14:paraId="4DC19D0F"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（二）项目概况:</w:t>
      </w:r>
    </w:p>
    <w:p w14:paraId="17B32DE8" w14:textId="77777777" w:rsidR="008C5917" w:rsidRPr="008C5917" w:rsidRDefault="008C5917" w:rsidP="008C5917">
      <w:pPr>
        <w:spacing w:line="360" w:lineRule="auto"/>
        <w:ind w:firstLineChars="200" w:firstLine="420"/>
        <w:rPr>
          <w:rFonts w:ascii="新宋体" w:eastAsia="新宋体" w:hAnsi="新宋体" w:cs="Times New Roman"/>
          <w:szCs w:val="21"/>
        </w:rPr>
      </w:pPr>
      <w:r w:rsidRPr="008C5917">
        <w:rPr>
          <w:rFonts w:ascii="新宋体" w:eastAsia="新宋体" w:hAnsi="新宋体" w:cs="Times New Roman" w:hint="eastAsia"/>
          <w:szCs w:val="21"/>
        </w:rPr>
        <w:t>为落实个人破产制度改革任务，市破产管理署于2022年6月在全国首创个人破产申请前辅导制度，引导申请人规范填写个人破产申请，探索解决个人破产申请填报难、效率低的问题。个人破产申请前辅导是集“普法宣传+面谈调查+申请指导”等功能于一体的综合性公益服务，于2023年10月被</w:t>
      </w:r>
      <w:proofErr w:type="gramStart"/>
      <w:r w:rsidRPr="008C5917">
        <w:rPr>
          <w:rFonts w:ascii="新宋体" w:eastAsia="新宋体" w:hAnsi="新宋体" w:cs="Times New Roman" w:hint="eastAsia"/>
          <w:szCs w:val="21"/>
        </w:rPr>
        <w:t>国家发改委</w:t>
      </w:r>
      <w:proofErr w:type="gramEnd"/>
      <w:r w:rsidRPr="008C5917">
        <w:rPr>
          <w:rFonts w:ascii="新宋体" w:eastAsia="新宋体" w:hAnsi="新宋体" w:cs="Times New Roman" w:hint="eastAsia"/>
          <w:szCs w:val="21"/>
        </w:rPr>
        <w:t>、司法部等部门列入2023年深圳综合改革试点创新举措和典型经验，予以全国推广。截至2025年2月，市破产管理署共收到辅导预约4400人次，组织完成辅导4280人次，领取辅导回执2460人次，分流不符合个人破产申请条件的辅导对象1820人次（占比43%）。</w:t>
      </w:r>
    </w:p>
    <w:p w14:paraId="4FF4CE82" w14:textId="77777777" w:rsidR="008C5917" w:rsidRPr="008C5917" w:rsidRDefault="008C5917" w:rsidP="008C5917">
      <w:pPr>
        <w:spacing w:line="360" w:lineRule="auto"/>
        <w:ind w:firstLineChars="200" w:firstLine="420"/>
        <w:rPr>
          <w:rFonts w:ascii="新宋体" w:eastAsia="新宋体" w:hAnsi="新宋体" w:cs="Times New Roman"/>
          <w:szCs w:val="21"/>
        </w:rPr>
      </w:pPr>
      <w:r w:rsidRPr="008C5917">
        <w:rPr>
          <w:rFonts w:ascii="新宋体" w:eastAsia="新宋体" w:hAnsi="新宋体" w:cs="Times New Roman" w:hint="eastAsia"/>
          <w:szCs w:val="21"/>
        </w:rPr>
        <w:t>2024年6月，市破产管理署印发《深圳市破产事务管理署组织个人破产庭外和解工作规程（试行）》，在人民法院主导的个人破产程序以外探索构建了庭外和解机制，对于部分债权债务关系明确、债权人数量较少且配合度较高的个人破产和解申请，债务人与债权人可以就债务清理在庭外自行委托市破产管理署组织和解，达成和解协议的，可以请求人民法院裁定认可和解协议，在一定程度上能起到案件分流、舒缓审判压力的作用。引入专业机构推动高质量开展申请前辅导及庭外和解服务工作，一是为优化工作流程提供人才支撑，为提升工作效率提供智力保障，为便利债务人申请个人破产提供有力抓手，减轻人民法院审查案件压力，助力提升营商环境；二是根据深入推进个人破产制度改革需要，将工作中收集的个案数据进行统计、分析、</w:t>
      </w:r>
      <w:proofErr w:type="gramStart"/>
      <w:r w:rsidRPr="008C5917">
        <w:rPr>
          <w:rFonts w:ascii="新宋体" w:eastAsia="新宋体" w:hAnsi="新宋体" w:cs="Times New Roman" w:hint="eastAsia"/>
          <w:szCs w:val="21"/>
        </w:rPr>
        <w:t>研</w:t>
      </w:r>
      <w:proofErr w:type="gramEnd"/>
      <w:r w:rsidRPr="008C5917">
        <w:rPr>
          <w:rFonts w:ascii="新宋体" w:eastAsia="新宋体" w:hAnsi="新宋体" w:cs="Times New Roman" w:hint="eastAsia"/>
          <w:szCs w:val="21"/>
        </w:rPr>
        <w:t>判，深挖数据价值资源，为经济运行和社会发展、决策提供参考；三是引入专业机构人员跟踪制度运行开展实证讨论，检验制度设计的合理性和科学性，为完善相关工作总结经验。</w:t>
      </w:r>
    </w:p>
    <w:p w14:paraId="7DA33806" w14:textId="77777777" w:rsidR="008C5917" w:rsidRPr="008C5917" w:rsidRDefault="008C5917" w:rsidP="008C5917">
      <w:pPr>
        <w:rPr>
          <w:rFonts w:ascii="新宋体" w:eastAsia="新宋体" w:hAnsi="新宋体" w:cs="Times New Roman"/>
          <w:b/>
          <w:bCs/>
          <w:szCs w:val="21"/>
        </w:rPr>
      </w:pPr>
    </w:p>
    <w:p w14:paraId="79A94679" w14:textId="77777777" w:rsidR="008C5917" w:rsidRPr="008C5917" w:rsidRDefault="008C5917" w:rsidP="008C5917">
      <w:pPr>
        <w:keepNext/>
        <w:keepLines/>
        <w:spacing w:before="260" w:after="260"/>
        <w:outlineLvl w:val="2"/>
        <w:rPr>
          <w:rFonts w:ascii="新宋体" w:eastAsia="新宋体" w:hAnsi="新宋体" w:cs="Times New Roman"/>
          <w:b/>
          <w:bCs/>
          <w:kern w:val="44"/>
          <w:sz w:val="28"/>
          <w:szCs w:val="28"/>
        </w:rPr>
      </w:pPr>
      <w:r w:rsidRPr="008C5917">
        <w:rPr>
          <w:rFonts w:ascii="新宋体" w:eastAsia="新宋体" w:hAnsi="新宋体" w:cs="Times New Roman" w:hint="eastAsia"/>
          <w:b/>
          <w:bCs/>
          <w:kern w:val="44"/>
          <w:sz w:val="28"/>
          <w:szCs w:val="28"/>
        </w:rPr>
        <w:t>四、项目技术要求</w:t>
      </w:r>
    </w:p>
    <w:p w14:paraId="6E017961" w14:textId="77777777" w:rsidR="008C5917" w:rsidRPr="008C5917" w:rsidRDefault="008C5917" w:rsidP="008C5917">
      <w:pPr>
        <w:spacing w:line="360" w:lineRule="auto"/>
        <w:rPr>
          <w:rFonts w:ascii="新宋体" w:eastAsia="新宋体" w:hAnsi="新宋体" w:cs="Times New Roman"/>
          <w:b/>
          <w:szCs w:val="24"/>
        </w:rPr>
      </w:pPr>
      <w:r w:rsidRPr="008C5917">
        <w:rPr>
          <w:rFonts w:ascii="新宋体" w:eastAsia="新宋体" w:hAnsi="新宋体" w:cs="Times New Roman" w:hint="eastAsia"/>
          <w:b/>
          <w:szCs w:val="24"/>
        </w:rPr>
        <w:t>（一）服务内容</w:t>
      </w:r>
    </w:p>
    <w:p w14:paraId="499A6DF5"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t>1.协助开展申请前辅导及庭外和解服务工作，为工作开展提供咨询服务和智力支持，2025年提供服务不少于800人次；</w:t>
      </w:r>
    </w:p>
    <w:p w14:paraId="44792340"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lastRenderedPageBreak/>
        <w:t>2.持续跟踪制度实施情况，协助相关数据整理、分析和</w:t>
      </w:r>
      <w:proofErr w:type="gramStart"/>
      <w:r w:rsidRPr="008C5917">
        <w:rPr>
          <w:rFonts w:ascii="新宋体" w:eastAsia="新宋体" w:hAnsi="新宋体" w:cs="Times New Roman" w:hint="eastAsia"/>
          <w:bCs/>
          <w:szCs w:val="24"/>
        </w:rPr>
        <w:t>研判</w:t>
      </w:r>
      <w:proofErr w:type="gramEnd"/>
      <w:r w:rsidRPr="008C5917">
        <w:rPr>
          <w:rFonts w:ascii="新宋体" w:eastAsia="新宋体" w:hAnsi="新宋体" w:cs="Times New Roman" w:hint="eastAsia"/>
          <w:bCs/>
          <w:szCs w:val="24"/>
        </w:rPr>
        <w:t>，深挖典型案例，为制度优化提供数据和案例支持；</w:t>
      </w:r>
    </w:p>
    <w:p w14:paraId="764A2085"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t>3.协助开展相关资料的收集、翻译、汇编以及调研等工作，深挖相关制度价值；</w:t>
      </w:r>
    </w:p>
    <w:p w14:paraId="14CE7918"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t>4.梳理总结制度运行中的问题并提出完善建议，包括但不限于法律效力、流程设置、服务内容、使用文书资料等方面的意见建议；形成《深圳市破产事务管理署个人破产申请前辅导及庭外和解服务机制实施情况报告（2025年）》。</w:t>
      </w:r>
    </w:p>
    <w:p w14:paraId="50083B0D" w14:textId="77777777" w:rsidR="008C5917" w:rsidRPr="008C5917" w:rsidRDefault="008C5917" w:rsidP="008C5917">
      <w:pPr>
        <w:spacing w:line="360" w:lineRule="auto"/>
        <w:rPr>
          <w:rFonts w:ascii="新宋体" w:eastAsia="新宋体" w:hAnsi="新宋体" w:cs="Times New Roman"/>
          <w:b/>
          <w:szCs w:val="24"/>
        </w:rPr>
      </w:pPr>
      <w:r w:rsidRPr="008C5917">
        <w:rPr>
          <w:rFonts w:ascii="新宋体" w:eastAsia="新宋体" w:hAnsi="新宋体" w:cs="Times New Roman" w:hint="eastAsia"/>
          <w:b/>
          <w:szCs w:val="24"/>
        </w:rPr>
        <w:t>（二）人员要求</w:t>
      </w:r>
    </w:p>
    <w:p w14:paraId="66CE3770"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t>1.考虑项目特点，要求团队成员具有法律研究经验，以及具有面向政府部门、社会公众提供法律咨询服务实践经验的团队优先；</w:t>
      </w:r>
    </w:p>
    <w:p w14:paraId="1031BC1A"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t>2.组成项目团队（含驻点人员）不少于3人，均有法律专业教育背景或相关工作经验。须指定其中2名团队成员全程参与申请前辅导工作，对制度运行情况进行跟踪分析、统计数据，以及开展优化个人破产申请前辅导及庭外和解服务机制的研究；</w:t>
      </w:r>
    </w:p>
    <w:p w14:paraId="5F09E0F3"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t>3.中标单位不得随意更换团队成员，服务期内未经招标单位同意不得随意更换。人员有变动时，应当提前至少2周书面通知招标单位，并安排好新成员的上岗培训和交接手续。</w:t>
      </w:r>
    </w:p>
    <w:p w14:paraId="1907AA43" w14:textId="77777777" w:rsidR="008C5917" w:rsidRPr="008C5917" w:rsidRDefault="008C5917" w:rsidP="008C5917">
      <w:pPr>
        <w:spacing w:line="360" w:lineRule="auto"/>
        <w:rPr>
          <w:rFonts w:ascii="新宋体" w:eastAsia="新宋体" w:hAnsi="新宋体" w:cs="Times New Roman"/>
          <w:b/>
          <w:szCs w:val="24"/>
        </w:rPr>
      </w:pPr>
      <w:r w:rsidRPr="008C5917">
        <w:rPr>
          <w:rFonts w:ascii="新宋体" w:eastAsia="新宋体" w:hAnsi="新宋体" w:cs="Times New Roman" w:hint="eastAsia"/>
          <w:b/>
          <w:szCs w:val="24"/>
        </w:rPr>
        <w:t>（三）服务成果</w:t>
      </w:r>
    </w:p>
    <w:p w14:paraId="561B99F7"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t>1.组建工作团队。2025年3月前，组建稳定工作团队，团队人数不少于3人，提供项目咨询服务和智力支持；</w:t>
      </w:r>
    </w:p>
    <w:p w14:paraId="7BEE7976"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t>2.开展服务工作及数据分析。2025年4月至10月开展服务工作并收集资料，对相关工作进行全程跟踪，对工作过程中发现的典型案例、热点问题及趋势进行梳理、统计和归纳；</w:t>
      </w:r>
    </w:p>
    <w:p w14:paraId="06B690D1" w14:textId="77777777" w:rsidR="008C5917" w:rsidRPr="008C5917" w:rsidRDefault="008C5917" w:rsidP="008C5917">
      <w:pPr>
        <w:spacing w:line="360" w:lineRule="auto"/>
        <w:rPr>
          <w:rFonts w:ascii="新宋体" w:eastAsia="新宋体" w:hAnsi="新宋体" w:cs="Times New Roman"/>
          <w:bCs/>
          <w:szCs w:val="24"/>
        </w:rPr>
      </w:pPr>
      <w:r w:rsidRPr="008C5917">
        <w:rPr>
          <w:rFonts w:ascii="新宋体" w:eastAsia="新宋体" w:hAnsi="新宋体" w:cs="Times New Roman" w:hint="eastAsia"/>
          <w:bCs/>
          <w:szCs w:val="24"/>
        </w:rPr>
        <w:t>3.形成专项报告和制度优化建议。2025年10月底形成《深圳市破产事务管理署个人破产申请前辅导及庭外和解服务机制实施情况报告（2025年）》初稿，11月底前根据修改意见完善形成专家评审稿，12月初组织专家进行评审验收，修改形成项目成果终稿并申请结项。</w:t>
      </w:r>
    </w:p>
    <w:p w14:paraId="24DE5999" w14:textId="77777777" w:rsidR="008C5917" w:rsidRPr="008C5917" w:rsidRDefault="008C5917" w:rsidP="008C5917">
      <w:pPr>
        <w:spacing w:line="360" w:lineRule="auto"/>
        <w:rPr>
          <w:rFonts w:ascii="新宋体" w:eastAsia="新宋体" w:hAnsi="新宋体" w:cs="Times New Roman"/>
          <w:b/>
          <w:szCs w:val="24"/>
        </w:rPr>
      </w:pPr>
      <w:r w:rsidRPr="008C5917">
        <w:rPr>
          <w:rFonts w:ascii="新宋体" w:eastAsia="新宋体" w:hAnsi="新宋体" w:cs="Times New Roman" w:hint="eastAsia"/>
          <w:b/>
          <w:szCs w:val="24"/>
        </w:rPr>
        <w:t>本项目产生的所有成果报告版权归采购人所有。</w:t>
      </w:r>
    </w:p>
    <w:p w14:paraId="01201ADA" w14:textId="77777777" w:rsidR="008C5917" w:rsidRPr="008C5917" w:rsidRDefault="008C5917" w:rsidP="008C5917">
      <w:pPr>
        <w:spacing w:line="360" w:lineRule="auto"/>
        <w:rPr>
          <w:rFonts w:ascii="新宋体" w:eastAsia="新宋体" w:hAnsi="新宋体" w:cs="Times New Roman"/>
          <w:bCs/>
          <w:szCs w:val="24"/>
        </w:rPr>
      </w:pPr>
    </w:p>
    <w:p w14:paraId="47B2CF9F" w14:textId="77777777" w:rsidR="008C5917" w:rsidRPr="008C5917" w:rsidRDefault="008C5917" w:rsidP="008C5917">
      <w:pPr>
        <w:keepNext/>
        <w:keepLines/>
        <w:spacing w:before="260" w:after="260"/>
        <w:outlineLvl w:val="2"/>
        <w:rPr>
          <w:rFonts w:ascii="新宋体" w:eastAsia="新宋体" w:hAnsi="新宋体" w:cs="Times New Roman"/>
          <w:b/>
          <w:bCs/>
          <w:kern w:val="44"/>
          <w:sz w:val="28"/>
          <w:szCs w:val="28"/>
        </w:rPr>
      </w:pPr>
      <w:r w:rsidRPr="008C5917">
        <w:rPr>
          <w:rFonts w:ascii="新宋体" w:eastAsia="新宋体" w:hAnsi="新宋体" w:cs="Times New Roman" w:hint="eastAsia"/>
          <w:b/>
          <w:bCs/>
          <w:kern w:val="44"/>
          <w:sz w:val="28"/>
          <w:szCs w:val="28"/>
        </w:rPr>
        <w:t>五、项目商务要求</w:t>
      </w:r>
    </w:p>
    <w:p w14:paraId="31D3E9F8"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b/>
          <w:bCs/>
          <w:szCs w:val="21"/>
        </w:rPr>
        <w:t>（一）服务期限</w:t>
      </w:r>
    </w:p>
    <w:p w14:paraId="29C3A0EB"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自合同签订之日起至2025年12月。</w:t>
      </w:r>
    </w:p>
    <w:p w14:paraId="51011855"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b/>
          <w:bCs/>
          <w:szCs w:val="21"/>
        </w:rPr>
        <w:t>（二）付款方式</w:t>
      </w:r>
    </w:p>
    <w:p w14:paraId="320F613A"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lastRenderedPageBreak/>
        <w:t>财政性付款。分三次支付：签订委托合同且甲方收到乙方提供的有效发票后10个工作日内支付首期款，为中标金额的60%；提交《深圳市破产事务管理署个人破产申请前辅导及庭外和解服务机制实施情况报告（2025年）》初稿且甲方收到乙方提供的有效发票后10个工作日内支付中期款，为中标金额的30%；项目通过专家验收评审，且甲方收到乙方提供的有效发票后10个工作日内支付尾款，为中标金额的10%。</w:t>
      </w:r>
    </w:p>
    <w:p w14:paraId="1311BA93" w14:textId="77777777" w:rsidR="008C5917" w:rsidRPr="008C5917" w:rsidRDefault="008C5917" w:rsidP="008C5917">
      <w:pPr>
        <w:spacing w:line="360" w:lineRule="auto"/>
        <w:rPr>
          <w:rFonts w:ascii="新宋体" w:eastAsia="新宋体" w:hAnsi="新宋体" w:cs="宋体"/>
          <w:b/>
          <w:bCs/>
          <w:szCs w:val="21"/>
        </w:rPr>
      </w:pPr>
      <w:r w:rsidRPr="008C5917">
        <w:rPr>
          <w:rFonts w:ascii="新宋体" w:eastAsia="新宋体" w:hAnsi="新宋体" w:cs="宋体" w:hint="eastAsia"/>
          <w:b/>
          <w:bCs/>
          <w:szCs w:val="21"/>
        </w:rPr>
        <w:t>（三）质量考核验收标准及违约金</w:t>
      </w:r>
    </w:p>
    <w:p w14:paraId="2A2F5E57"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1.质量考核验收标准：本项目中标人提交的成果通过专家评审验收。</w:t>
      </w:r>
    </w:p>
    <w:p w14:paraId="7642E746"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2.违约金：以合同签订为准。</w:t>
      </w:r>
    </w:p>
    <w:p w14:paraId="7FAF670E" w14:textId="77777777" w:rsidR="008C5917" w:rsidRPr="008C5917" w:rsidRDefault="008C5917" w:rsidP="008C5917">
      <w:pPr>
        <w:keepNext/>
        <w:keepLines/>
        <w:spacing w:before="260" w:after="260"/>
        <w:outlineLvl w:val="2"/>
        <w:rPr>
          <w:rFonts w:ascii="新宋体" w:eastAsia="新宋体" w:hAnsi="新宋体" w:cs="Times New Roman"/>
          <w:b/>
          <w:bCs/>
          <w:kern w:val="44"/>
          <w:sz w:val="28"/>
          <w:szCs w:val="28"/>
        </w:rPr>
      </w:pPr>
      <w:r w:rsidRPr="008C5917">
        <w:rPr>
          <w:rFonts w:ascii="新宋体" w:eastAsia="新宋体" w:hAnsi="新宋体" w:cs="Times New Roman" w:hint="eastAsia"/>
          <w:b/>
          <w:bCs/>
          <w:kern w:val="44"/>
          <w:sz w:val="28"/>
          <w:szCs w:val="28"/>
        </w:rPr>
        <w:t>六、投标报价</w:t>
      </w:r>
    </w:p>
    <w:p w14:paraId="07118365"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8C5917">
        <w:rPr>
          <w:rFonts w:ascii="新宋体" w:eastAsia="新宋体" w:hAnsi="新宋体" w:cs="宋体" w:hint="eastAsia"/>
          <w:szCs w:val="21"/>
        </w:rPr>
        <w:t>签定</w:t>
      </w:r>
      <w:proofErr w:type="gramEnd"/>
      <w:r w:rsidRPr="008C5917">
        <w:rPr>
          <w:rFonts w:ascii="新宋体" w:eastAsia="新宋体" w:hAnsi="新宋体" w:cs="宋体" w:hint="eastAsia"/>
          <w:szCs w:val="21"/>
        </w:rPr>
        <w:t>的合同金额，合同期限内不做调整。</w:t>
      </w:r>
    </w:p>
    <w:p w14:paraId="45EA5E2E"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2BF628"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08F4880"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8C5917">
        <w:rPr>
          <w:rFonts w:ascii="新宋体" w:eastAsia="新宋体" w:hAnsi="新宋体" w:cs="宋体" w:hint="eastAsia"/>
          <w:szCs w:val="21"/>
        </w:rPr>
        <w:t>中项目</w:t>
      </w:r>
      <w:proofErr w:type="gramEnd"/>
      <w:r w:rsidRPr="008C5917">
        <w:rPr>
          <w:rFonts w:ascii="新宋体" w:eastAsia="新宋体" w:hAnsi="新宋体" w:cs="宋体" w:hint="eastAsia"/>
          <w:szCs w:val="21"/>
        </w:rPr>
        <w:t>和数量填报综合单价或总价。投标人未</w:t>
      </w:r>
      <w:proofErr w:type="gramStart"/>
      <w:r w:rsidRPr="008C5917">
        <w:rPr>
          <w:rFonts w:ascii="新宋体" w:eastAsia="新宋体" w:hAnsi="新宋体" w:cs="宋体" w:hint="eastAsia"/>
          <w:szCs w:val="21"/>
        </w:rPr>
        <w:t>填综合</w:t>
      </w:r>
      <w:proofErr w:type="gramEnd"/>
      <w:r w:rsidRPr="008C5917">
        <w:rPr>
          <w:rFonts w:ascii="新宋体" w:eastAsia="新宋体" w:hAnsi="新宋体" w:cs="宋体" w:hint="eastAsia"/>
          <w:szCs w:val="21"/>
        </w:rPr>
        <w:t>单价或总价的项目，在实施后，将不得以支付，并视作该项费用已包括在其它有价款的综合单价或总价内。</w:t>
      </w:r>
    </w:p>
    <w:p w14:paraId="43DD4CE3"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1BDB7A02" w14:textId="77777777" w:rsidR="008C5917" w:rsidRPr="008C5917" w:rsidRDefault="008C5917" w:rsidP="008C5917">
      <w:pPr>
        <w:spacing w:line="360" w:lineRule="auto"/>
        <w:rPr>
          <w:rFonts w:ascii="新宋体" w:eastAsia="新宋体" w:hAnsi="新宋体" w:cs="宋体"/>
          <w:szCs w:val="21"/>
        </w:rPr>
      </w:pPr>
      <w:r w:rsidRPr="008C5917">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8C5917" w:rsidRDefault="00F516D7">
      <w:bookmarkStart w:id="0" w:name="_GoBack"/>
      <w:bookmarkEnd w:id="0"/>
    </w:p>
    <w:sectPr w:rsidR="00F516D7" w:rsidRPr="008C59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0D1B6" w14:textId="77777777" w:rsidR="008C5917" w:rsidRDefault="008C5917" w:rsidP="008C5917">
      <w:r>
        <w:separator/>
      </w:r>
    </w:p>
  </w:endnote>
  <w:endnote w:type="continuationSeparator" w:id="0">
    <w:p w14:paraId="3274032B" w14:textId="77777777" w:rsidR="008C5917" w:rsidRDefault="008C5917" w:rsidP="008C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方正书宋_GBK"/>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689E2" w14:textId="77777777" w:rsidR="008C5917" w:rsidRDefault="008C5917" w:rsidP="008C5917">
      <w:r>
        <w:separator/>
      </w:r>
    </w:p>
  </w:footnote>
  <w:footnote w:type="continuationSeparator" w:id="0">
    <w:p w14:paraId="667C2DCC" w14:textId="77777777" w:rsidR="008C5917" w:rsidRDefault="008C5917" w:rsidP="008C59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8C5917"/>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59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5917"/>
    <w:rPr>
      <w:sz w:val="18"/>
      <w:szCs w:val="18"/>
    </w:rPr>
  </w:style>
  <w:style w:type="paragraph" w:styleId="a4">
    <w:name w:val="footer"/>
    <w:basedOn w:val="a"/>
    <w:link w:val="Char0"/>
    <w:uiPriority w:val="99"/>
    <w:unhideWhenUsed/>
    <w:rsid w:val="008C5917"/>
    <w:pPr>
      <w:tabs>
        <w:tab w:val="center" w:pos="4153"/>
        <w:tab w:val="right" w:pos="8306"/>
      </w:tabs>
      <w:snapToGrid w:val="0"/>
      <w:jc w:val="left"/>
    </w:pPr>
    <w:rPr>
      <w:sz w:val="18"/>
      <w:szCs w:val="18"/>
    </w:rPr>
  </w:style>
  <w:style w:type="character" w:customStyle="1" w:styleId="Char0">
    <w:name w:val="页脚 Char"/>
    <w:basedOn w:val="a0"/>
    <w:link w:val="a4"/>
    <w:uiPriority w:val="99"/>
    <w:rsid w:val="008C591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59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5917"/>
    <w:rPr>
      <w:sz w:val="18"/>
      <w:szCs w:val="18"/>
    </w:rPr>
  </w:style>
  <w:style w:type="paragraph" w:styleId="a4">
    <w:name w:val="footer"/>
    <w:basedOn w:val="a"/>
    <w:link w:val="Char0"/>
    <w:uiPriority w:val="99"/>
    <w:unhideWhenUsed/>
    <w:rsid w:val="008C5917"/>
    <w:pPr>
      <w:tabs>
        <w:tab w:val="center" w:pos="4153"/>
        <w:tab w:val="right" w:pos="8306"/>
      </w:tabs>
      <w:snapToGrid w:val="0"/>
      <w:jc w:val="left"/>
    </w:pPr>
    <w:rPr>
      <w:sz w:val="18"/>
      <w:szCs w:val="18"/>
    </w:rPr>
  </w:style>
  <w:style w:type="character" w:customStyle="1" w:styleId="Char0">
    <w:name w:val="页脚 Char"/>
    <w:basedOn w:val="a0"/>
    <w:link w:val="a4"/>
    <w:uiPriority w:val="99"/>
    <w:rsid w:val="008C591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2025-03-06T07:28:00Z</dcterms:modified>
</cp:coreProperties>
</file>