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47574" w14:textId="77777777" w:rsidR="002C1EE5" w:rsidRPr="002C1EE5" w:rsidRDefault="002C1EE5" w:rsidP="002C1EE5">
      <w:pPr>
        <w:keepNext/>
        <w:keepLines/>
        <w:spacing w:before="260" w:after="260"/>
        <w:outlineLvl w:val="2"/>
        <w:rPr>
          <w:rFonts w:ascii="新宋体" w:eastAsia="新宋体" w:hAnsi="新宋体" w:cs="Times New Roman"/>
          <w:b/>
          <w:bCs/>
          <w:kern w:val="44"/>
          <w:sz w:val="28"/>
          <w:szCs w:val="28"/>
        </w:rPr>
      </w:pPr>
      <w:r w:rsidRPr="002C1EE5">
        <w:rPr>
          <w:rFonts w:ascii="新宋体" w:eastAsia="新宋体" w:hAnsi="新宋体" w:cs="Times New Roman" w:hint="eastAsia"/>
          <w:b/>
          <w:bCs/>
          <w:kern w:val="44"/>
          <w:sz w:val="28"/>
          <w:szCs w:val="28"/>
        </w:rPr>
        <w:t>三、项目概况</w:t>
      </w:r>
    </w:p>
    <w:p w14:paraId="0C0AB62A"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（一）</w:t>
      </w:r>
      <w:r w:rsidRPr="002C1EE5">
        <w:rPr>
          <w:rFonts w:ascii="新宋体" w:eastAsia="新宋体" w:hAnsi="新宋体" w:cs="宋体"/>
          <w:szCs w:val="21"/>
        </w:rPr>
        <w:t>预算</w:t>
      </w:r>
      <w:r w:rsidRPr="002C1EE5">
        <w:rPr>
          <w:rFonts w:ascii="新宋体" w:eastAsia="新宋体" w:hAnsi="新宋体" w:cs="宋体" w:hint="eastAsia"/>
          <w:szCs w:val="21"/>
        </w:rPr>
        <w:t>金额: 人民币柒拾贰万柒仟捌佰零伍元（727,805.00），</w:t>
      </w:r>
      <w:r w:rsidRPr="002C1EE5">
        <w:rPr>
          <w:rFonts w:ascii="新宋体" w:eastAsia="新宋体" w:hAnsi="新宋体" w:cs="宋体"/>
          <w:szCs w:val="21"/>
        </w:rPr>
        <w:t>最高投标限价</w:t>
      </w:r>
      <w:r w:rsidRPr="002C1EE5">
        <w:rPr>
          <w:rFonts w:ascii="新宋体" w:eastAsia="新宋体" w:hAnsi="新宋体" w:cs="宋体" w:hint="eastAsia"/>
          <w:szCs w:val="21"/>
        </w:rPr>
        <w:t>: 人民币柒拾贰万柒仟捌佰零伍元（727,805.00）</w:t>
      </w:r>
    </w:p>
    <w:p w14:paraId="11FB26A1"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 xml:space="preserve">（二）项目概况: </w:t>
      </w:r>
    </w:p>
    <w:p w14:paraId="6B0598E5" w14:textId="77777777" w:rsidR="002C1EE5" w:rsidRPr="002C1EE5" w:rsidRDefault="002C1EE5" w:rsidP="002C1EE5">
      <w:pPr>
        <w:spacing w:line="360" w:lineRule="auto"/>
        <w:ind w:firstLineChars="200" w:firstLine="420"/>
        <w:rPr>
          <w:rFonts w:ascii="新宋体" w:eastAsia="新宋体" w:hAnsi="新宋体" w:cs="Times New Roman"/>
          <w:szCs w:val="21"/>
        </w:rPr>
      </w:pPr>
      <w:r w:rsidRPr="002C1EE5">
        <w:rPr>
          <w:rFonts w:ascii="新宋体" w:eastAsia="新宋体" w:hAnsi="新宋体" w:cs="Times New Roman" w:hint="eastAsia"/>
          <w:szCs w:val="21"/>
        </w:rPr>
        <w:t>为贯彻落实《中华人民共和国大气污染防治法》《深圳经济特区生态环境保护条例》，严格实施涂料、油墨、胶粘剂、清洗剂等产品挥发性有机物（VOC）含量限值标准，推动企业实施低VOC原辅料源头替代，拟委托第三方机构开展相关产品VOC成分抽样检测，为深圳市污染源监管提供技术支撑。</w:t>
      </w:r>
    </w:p>
    <w:p w14:paraId="50C7820D" w14:textId="77777777" w:rsidR="002C1EE5" w:rsidRPr="002C1EE5" w:rsidRDefault="002C1EE5" w:rsidP="002C1EE5">
      <w:pPr>
        <w:rPr>
          <w:rFonts w:ascii="新宋体" w:eastAsia="新宋体" w:hAnsi="新宋体" w:cs="Times New Roman"/>
          <w:b/>
          <w:bCs/>
          <w:szCs w:val="21"/>
        </w:rPr>
      </w:pPr>
    </w:p>
    <w:p w14:paraId="10D5061E" w14:textId="77777777" w:rsidR="002C1EE5" w:rsidRPr="002C1EE5" w:rsidRDefault="002C1EE5" w:rsidP="002C1EE5">
      <w:pPr>
        <w:keepNext/>
        <w:keepLines/>
        <w:spacing w:before="260" w:after="260"/>
        <w:outlineLvl w:val="2"/>
        <w:rPr>
          <w:rFonts w:ascii="新宋体" w:eastAsia="新宋体" w:hAnsi="新宋体" w:cs="Times New Roman"/>
          <w:b/>
          <w:bCs/>
          <w:kern w:val="44"/>
          <w:sz w:val="28"/>
          <w:szCs w:val="28"/>
        </w:rPr>
      </w:pPr>
      <w:r w:rsidRPr="002C1EE5">
        <w:rPr>
          <w:rFonts w:ascii="新宋体" w:eastAsia="新宋体" w:hAnsi="新宋体" w:cs="Times New Roman" w:hint="eastAsia"/>
          <w:b/>
          <w:bCs/>
          <w:kern w:val="44"/>
          <w:sz w:val="28"/>
          <w:szCs w:val="28"/>
        </w:rPr>
        <w:t>四、项目技术要求</w:t>
      </w:r>
    </w:p>
    <w:p w14:paraId="575854C2" w14:textId="77777777" w:rsidR="002C1EE5" w:rsidRPr="002C1EE5" w:rsidRDefault="002C1EE5" w:rsidP="002C1EE5">
      <w:pPr>
        <w:spacing w:line="360" w:lineRule="auto"/>
        <w:rPr>
          <w:rFonts w:ascii="新宋体" w:eastAsia="新宋体" w:hAnsi="新宋体" w:cs="Times New Roman"/>
          <w:b/>
          <w:szCs w:val="24"/>
        </w:rPr>
      </w:pPr>
      <w:r w:rsidRPr="002C1EE5">
        <w:rPr>
          <w:rFonts w:ascii="新宋体" w:eastAsia="新宋体" w:hAnsi="新宋体" w:cs="Times New Roman" w:hint="eastAsia"/>
          <w:b/>
          <w:szCs w:val="24"/>
        </w:rPr>
        <w:t>（一）★服务内容</w:t>
      </w:r>
    </w:p>
    <w:p w14:paraId="72B88897"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（1）总体要求：中标人应积极配合采购人开展抽检及售后工作，应安排专人与采购人代表联系，并提供联系方式。</w:t>
      </w:r>
    </w:p>
    <w:p w14:paraId="2C5CFB33"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（2）工作内容：中标人应累计完成不低于362批次涂料等相关产品工业生产原辅料抽样和VOC检测。</w:t>
      </w:r>
    </w:p>
    <w:p w14:paraId="061D8E33"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（3）工作要求：</w:t>
      </w:r>
    </w:p>
    <w:p w14:paraId="36E4F69F"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（a）中标人不得将检验任务外包或分包给其他检测机构检验，一经发现，立即取消承检资格。</w:t>
      </w:r>
    </w:p>
    <w:p w14:paraId="08D5FF2B"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（b）中标人主动向采购人提供进度报告、发布进度信息，不得故意隐瞒、修改检测结果。</w:t>
      </w:r>
    </w:p>
    <w:p w14:paraId="14AABA17"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（c）中标人自觉接受社会各界监督，协助采购人对相关举报投诉进行调查处理。</w:t>
      </w:r>
    </w:p>
    <w:p w14:paraId="74B1B0EF"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（d）对评价结果发现存在严重事故隐患和重大安全风险的，中标人应及时向采购人进行通报。</w:t>
      </w:r>
    </w:p>
    <w:p w14:paraId="5FDDC3F2" w14:textId="77777777" w:rsidR="002C1EE5" w:rsidRPr="002C1EE5" w:rsidRDefault="002C1EE5" w:rsidP="002C1EE5">
      <w:pPr>
        <w:spacing w:line="360" w:lineRule="auto"/>
        <w:rPr>
          <w:rFonts w:ascii="新宋体" w:eastAsia="新宋体" w:hAnsi="新宋体" w:cs="Times New Roman"/>
          <w:b/>
          <w:szCs w:val="24"/>
        </w:rPr>
      </w:pPr>
      <w:r w:rsidRPr="002C1EE5">
        <w:rPr>
          <w:rFonts w:ascii="新宋体" w:eastAsia="新宋体" w:hAnsi="新宋体" w:cs="Times New Roman" w:hint="eastAsia"/>
          <w:b/>
          <w:szCs w:val="24"/>
        </w:rPr>
        <w:t>（二）服务方式</w:t>
      </w:r>
    </w:p>
    <w:p w14:paraId="59B31652"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（1）抽样方法：按照国家、省、市关于产品质量抽查抽样标准规定的方法实施，抽检施工状态下涂料挥发性有机物含量时，若</w:t>
      </w:r>
      <w:proofErr w:type="gramStart"/>
      <w:r w:rsidRPr="002C1EE5">
        <w:rPr>
          <w:rFonts w:ascii="新宋体" w:eastAsia="新宋体" w:hAnsi="新宋体" w:cs="Times New Roman" w:hint="eastAsia"/>
          <w:bCs/>
          <w:szCs w:val="24"/>
        </w:rPr>
        <w:t>加料仓不具备</w:t>
      </w:r>
      <w:proofErr w:type="gramEnd"/>
      <w:r w:rsidRPr="002C1EE5">
        <w:rPr>
          <w:rFonts w:ascii="新宋体" w:eastAsia="新宋体" w:hAnsi="新宋体" w:cs="Times New Roman" w:hint="eastAsia"/>
          <w:bCs/>
          <w:szCs w:val="24"/>
        </w:rPr>
        <w:t>取样检测条件，可按照涂料组分配比在涂料仓库采样，对于技术上无法按照产品配比抽样（例如，快速固化产品、辐射固化产品）可各组分分开抽取并注明各组分配比和施工条件。</w:t>
      </w:r>
    </w:p>
    <w:p w14:paraId="466C27D9"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lastRenderedPageBreak/>
        <w:t>（2）能力保障：中标人应具备与工业涂装涂料产品等产品检验工作相适应的检验条件、能力。</w:t>
      </w:r>
    </w:p>
    <w:p w14:paraId="3E41846D"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（3）中标人应按照采购人需求，在项目服务期限内完成项目规定批次样品的检测并出具相应报告。</w:t>
      </w:r>
    </w:p>
    <w:p w14:paraId="72822635"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（4）中标人按照采购人需求，按时提交批次检测报告，按配比采集的样品需注明样品配比。</w:t>
      </w:r>
    </w:p>
    <w:p w14:paraId="0600AC94"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（5）中标人对检验结果的真实性负责，由于虚假、错误检验数据和结论而给受检单位造成损失的，或者给社会带来不良影响的，中标人应当负责赔偿，并承担相应法律责任。</w:t>
      </w:r>
    </w:p>
    <w:p w14:paraId="62E95DD7" w14:textId="77777777" w:rsidR="002C1EE5" w:rsidRPr="002C1EE5" w:rsidRDefault="002C1EE5" w:rsidP="002C1EE5">
      <w:pPr>
        <w:spacing w:line="360" w:lineRule="auto"/>
        <w:rPr>
          <w:rFonts w:ascii="新宋体" w:eastAsia="新宋体" w:hAnsi="新宋体" w:cs="Times New Roman"/>
          <w:b/>
          <w:szCs w:val="24"/>
        </w:rPr>
      </w:pPr>
      <w:r w:rsidRPr="002C1EE5">
        <w:rPr>
          <w:rFonts w:ascii="新宋体" w:eastAsia="新宋体" w:hAnsi="新宋体" w:cs="Times New Roman" w:hint="eastAsia"/>
          <w:b/>
          <w:szCs w:val="24"/>
        </w:rPr>
        <w:t>（三）★提交成果</w:t>
      </w:r>
    </w:p>
    <w:p w14:paraId="2DC1E429"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（1）不少于362批次涂料等相关工业生产原辅料产品挥发性有机物（VOC或VOCs）检测报告；</w:t>
      </w:r>
    </w:p>
    <w:p w14:paraId="025AD7AF"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（2）《工业涂料相关产品VOC成分抽样检测（2025年）》项目工作总结报告1份。</w:t>
      </w:r>
    </w:p>
    <w:p w14:paraId="7210FF6E" w14:textId="77777777" w:rsidR="002C1EE5" w:rsidRPr="002C1EE5" w:rsidRDefault="002C1EE5" w:rsidP="002C1EE5">
      <w:pPr>
        <w:spacing w:line="360" w:lineRule="auto"/>
        <w:rPr>
          <w:rFonts w:ascii="新宋体" w:eastAsia="新宋体" w:hAnsi="新宋体" w:cs="Times New Roman"/>
          <w:b/>
          <w:szCs w:val="24"/>
        </w:rPr>
      </w:pPr>
      <w:r w:rsidRPr="002C1EE5">
        <w:rPr>
          <w:rFonts w:ascii="新宋体" w:eastAsia="新宋体" w:hAnsi="新宋体" w:cs="Times New Roman" w:hint="eastAsia"/>
          <w:b/>
          <w:szCs w:val="24"/>
        </w:rPr>
        <w:t>（四）人员要求</w:t>
      </w:r>
    </w:p>
    <w:p w14:paraId="11241B46"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为保证项目的顺利进行，中标人需组织一支项目经验丰富的团队来开展此项目。中标人需合理安排工作和时间节点，并严格按照各项规章制度组织项目的实施。</w:t>
      </w:r>
    </w:p>
    <w:p w14:paraId="3136FDA9" w14:textId="77777777" w:rsidR="002C1EE5" w:rsidRPr="002C1EE5" w:rsidRDefault="002C1EE5" w:rsidP="002C1EE5">
      <w:pPr>
        <w:spacing w:line="360" w:lineRule="auto"/>
        <w:rPr>
          <w:rFonts w:ascii="新宋体" w:eastAsia="新宋体" w:hAnsi="新宋体" w:cs="Times New Roman"/>
          <w:b/>
          <w:szCs w:val="24"/>
        </w:rPr>
      </w:pPr>
      <w:r w:rsidRPr="002C1EE5">
        <w:rPr>
          <w:rFonts w:ascii="新宋体" w:eastAsia="新宋体" w:hAnsi="新宋体" w:cs="Times New Roman" w:hint="eastAsia"/>
          <w:b/>
          <w:szCs w:val="24"/>
        </w:rPr>
        <w:t>（五）项目拟使用的车辆、场地、工具、机器等要求</w:t>
      </w:r>
    </w:p>
    <w:p w14:paraId="25ADFCD6"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自备（自有或租赁均可）数据传输、储存、应用等工作配套的设备及外出工作保障所需车辆以保证项目顺利实施。其中因此项目特殊性必须配备以特定型号的设备：1.气相色谱仪2.气相色谱质谱联用仪。</w:t>
      </w:r>
    </w:p>
    <w:p w14:paraId="1EC95950" w14:textId="77777777" w:rsidR="002C1EE5" w:rsidRPr="002C1EE5" w:rsidRDefault="002C1EE5" w:rsidP="002C1EE5">
      <w:pPr>
        <w:spacing w:line="360" w:lineRule="auto"/>
        <w:rPr>
          <w:rFonts w:ascii="新宋体" w:eastAsia="新宋体" w:hAnsi="新宋体" w:cs="Times New Roman"/>
          <w:b/>
          <w:szCs w:val="24"/>
        </w:rPr>
      </w:pPr>
      <w:r w:rsidRPr="002C1EE5">
        <w:rPr>
          <w:rFonts w:ascii="新宋体" w:eastAsia="新宋体" w:hAnsi="新宋体" w:cs="Times New Roman" w:hint="eastAsia"/>
          <w:b/>
          <w:szCs w:val="24"/>
        </w:rPr>
        <w:t>（六）验收要求</w:t>
      </w:r>
    </w:p>
    <w:p w14:paraId="2D74150D" w14:textId="77777777" w:rsidR="002C1EE5" w:rsidRPr="002C1EE5" w:rsidRDefault="002C1EE5" w:rsidP="002C1EE5">
      <w:pPr>
        <w:spacing w:line="360" w:lineRule="auto"/>
        <w:rPr>
          <w:rFonts w:ascii="新宋体" w:eastAsia="新宋体" w:hAnsi="新宋体" w:cs="Times New Roman"/>
          <w:bCs/>
          <w:szCs w:val="24"/>
        </w:rPr>
      </w:pPr>
      <w:r w:rsidRPr="002C1EE5">
        <w:rPr>
          <w:rFonts w:ascii="新宋体" w:eastAsia="新宋体" w:hAnsi="新宋体" w:cs="Times New Roman" w:hint="eastAsia"/>
          <w:bCs/>
          <w:szCs w:val="24"/>
        </w:rPr>
        <w:t>项目完成后，提供完整的项目成果（包括电子和纸质文件及相关图片、数据等），并通过采购人组织的专家评审，验收通过。</w:t>
      </w:r>
    </w:p>
    <w:p w14:paraId="59585608" w14:textId="77777777" w:rsidR="002C1EE5" w:rsidRPr="002C1EE5" w:rsidRDefault="002C1EE5" w:rsidP="002C1EE5">
      <w:pPr>
        <w:keepNext/>
        <w:keepLines/>
        <w:spacing w:before="260" w:after="260"/>
        <w:outlineLvl w:val="2"/>
        <w:rPr>
          <w:rFonts w:ascii="新宋体" w:eastAsia="新宋体" w:hAnsi="新宋体" w:cs="Times New Roman"/>
          <w:b/>
          <w:bCs/>
          <w:kern w:val="44"/>
          <w:sz w:val="28"/>
          <w:szCs w:val="28"/>
        </w:rPr>
      </w:pPr>
      <w:r w:rsidRPr="002C1EE5">
        <w:rPr>
          <w:rFonts w:ascii="新宋体" w:eastAsia="新宋体" w:hAnsi="新宋体" w:cs="Times New Roman" w:hint="eastAsia"/>
          <w:b/>
          <w:bCs/>
          <w:kern w:val="44"/>
          <w:sz w:val="28"/>
          <w:szCs w:val="28"/>
        </w:rPr>
        <w:t>五、项目商务要求</w:t>
      </w:r>
    </w:p>
    <w:p w14:paraId="2CE96798"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（一）支付要求</w:t>
      </w:r>
    </w:p>
    <w:p w14:paraId="11380145"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1.签订合同后，采购人在收到发票后10个工作日内向中标人支付合同总价的50%。</w:t>
      </w:r>
    </w:p>
    <w:p w14:paraId="2C957FBF"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2.通过采购人验收且采购人在收到发票后10个工作日内向中标人支付合同总价的50%。</w:t>
      </w:r>
    </w:p>
    <w:p w14:paraId="7E528764"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3.每次按合同支付款项前，中标人应向采购人提供与支付金额相符的有效发票，且收款方、出具发票方、合同</w:t>
      </w:r>
      <w:proofErr w:type="gramStart"/>
      <w:r w:rsidRPr="002C1EE5">
        <w:rPr>
          <w:rFonts w:ascii="新宋体" w:eastAsia="新宋体" w:hAnsi="新宋体" w:cs="宋体" w:hint="eastAsia"/>
          <w:szCs w:val="21"/>
        </w:rPr>
        <w:t>乙方均</w:t>
      </w:r>
      <w:proofErr w:type="gramEnd"/>
      <w:r w:rsidRPr="002C1EE5">
        <w:rPr>
          <w:rFonts w:ascii="新宋体" w:eastAsia="新宋体" w:hAnsi="新宋体" w:cs="宋体" w:hint="eastAsia"/>
          <w:szCs w:val="21"/>
        </w:rPr>
        <w:t>必须与中标人名称一致。</w:t>
      </w:r>
    </w:p>
    <w:p w14:paraId="3F2112B2"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（二）★合同服务期限</w:t>
      </w:r>
    </w:p>
    <w:p w14:paraId="72D70ACE"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lastRenderedPageBreak/>
        <w:t>1.项目服务期限：本项目服务期自合同签订之日至2026年5月31日。</w:t>
      </w:r>
    </w:p>
    <w:p w14:paraId="3EC6805D"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60374F9E"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（三）★合同转包和分包</w:t>
      </w:r>
    </w:p>
    <w:p w14:paraId="44F64673"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本项目不允许转包，不允许分包。</w:t>
      </w:r>
    </w:p>
    <w:p w14:paraId="36F992C1"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（四）保密要求</w:t>
      </w:r>
    </w:p>
    <w:p w14:paraId="1F7FBBF3"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025A17D9"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（五）★违约责任</w:t>
      </w:r>
    </w:p>
    <w:p w14:paraId="555186A5"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33A7453B"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3317B862"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30095A2D"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4.未经采购人同意，中标人不得将项目转包或分包给</w:t>
      </w:r>
      <w:proofErr w:type="gramStart"/>
      <w:r w:rsidRPr="002C1EE5">
        <w:rPr>
          <w:rFonts w:ascii="新宋体" w:eastAsia="新宋体" w:hAnsi="新宋体" w:cs="宋体" w:hint="eastAsia"/>
          <w:szCs w:val="21"/>
        </w:rPr>
        <w:t>其他第三</w:t>
      </w:r>
      <w:proofErr w:type="gramEnd"/>
      <w:r w:rsidRPr="002C1EE5">
        <w:rPr>
          <w:rFonts w:ascii="新宋体" w:eastAsia="新宋体" w:hAnsi="新宋体" w:cs="宋体" w:hint="eastAsia"/>
          <w:szCs w:val="21"/>
        </w:rPr>
        <w:t>方，如若违反，采购人有权解除合同，中标人应当返还采购人已支付的款项并向采购人支付采购合同总价款20%的违约金。</w:t>
      </w:r>
    </w:p>
    <w:p w14:paraId="71D52A44"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（六）合同的变更</w:t>
      </w:r>
    </w:p>
    <w:p w14:paraId="19C35C34"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76B50723"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2.在不改变合同其他条款的前提下，采购人有权在合同价款改变百分之十的范围内追加与合同标的相同的货物或服务，并就此与中标人签订补充合同，中标人不得拒绝。</w:t>
      </w:r>
    </w:p>
    <w:p w14:paraId="19DFB829"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3.除了双方签署书面协议，并成为合同不可分割的一部分之外，合同条件不得有任何变更。</w:t>
      </w:r>
    </w:p>
    <w:p w14:paraId="36A8CCD8"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lastRenderedPageBreak/>
        <w:t>（七）解决争议的方法</w:t>
      </w:r>
    </w:p>
    <w:p w14:paraId="04C74D0B"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1.合同各方应通过友好协商，解决在执行合同过程中所发生的或与合同有关的一切争端。</w:t>
      </w:r>
    </w:p>
    <w:p w14:paraId="6CE358EA"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2.如从协商开始28天内仍不能解决，任一方可向采购人所在地的人民法院提起诉讼。</w:t>
      </w:r>
    </w:p>
    <w:p w14:paraId="68D6F281"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3.在诉讼期间，除正在进行诉讼的部分外，合同的其他部分应继续执行。</w:t>
      </w:r>
    </w:p>
    <w:p w14:paraId="1922357A"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（八）合同语言</w:t>
      </w:r>
    </w:p>
    <w:p w14:paraId="506A5167"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合同以及双方来往的与合同有关的信件、传真和其它文件应用中文书写。</w:t>
      </w:r>
    </w:p>
    <w:p w14:paraId="19C1AC38"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（九）法律适用</w:t>
      </w:r>
    </w:p>
    <w:p w14:paraId="35F8A4FB"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1EDDF359"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（十）通知</w:t>
      </w:r>
    </w:p>
    <w:p w14:paraId="43CD5FB8"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1.合同一方给另一方的通知均应采用书面形式，传真或快递送到对方的地址和办理签收手续。</w:t>
      </w:r>
    </w:p>
    <w:p w14:paraId="38DDED23"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2.通知以送到之日或通知书中规定的生效之日起生效，两者中以较迟之日为准。</w:t>
      </w:r>
    </w:p>
    <w:p w14:paraId="34DF22A5"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（十一）★知识产权</w:t>
      </w:r>
    </w:p>
    <w:p w14:paraId="6F40DFFE"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1.中标人在履行合同的过程中不得侵犯他人知识产权，不得提供虚假知识产权申请材料或者违背知识产权合</w:t>
      </w:r>
      <w:proofErr w:type="gramStart"/>
      <w:r w:rsidRPr="002C1EE5">
        <w:rPr>
          <w:rFonts w:ascii="新宋体" w:eastAsia="新宋体" w:hAnsi="新宋体" w:cs="宋体" w:hint="eastAsia"/>
          <w:szCs w:val="21"/>
        </w:rPr>
        <w:t>规</w:t>
      </w:r>
      <w:proofErr w:type="gramEnd"/>
      <w:r w:rsidRPr="002C1EE5">
        <w:rPr>
          <w:rFonts w:ascii="新宋体" w:eastAsia="新宋体" w:hAnsi="新宋体" w:cs="宋体" w:hint="eastAsia"/>
          <w:szCs w:val="21"/>
        </w:rPr>
        <w:t>性承诺，否则依法追究其违约等责任，并将其失信违法信息依法纳入公共信用信息系统。</w:t>
      </w:r>
    </w:p>
    <w:p w14:paraId="26DDFB20"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2CF7CB2D"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3.中标人实施本项目所形成成果的知识产权归采购人所有，未经采购人许可，中标人不得随意使用。</w:t>
      </w:r>
    </w:p>
    <w:p w14:paraId="393A3AF1"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（十二）合同解除和终止</w:t>
      </w:r>
    </w:p>
    <w:p w14:paraId="09F3EEDE"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2C1EE5">
        <w:rPr>
          <w:rFonts w:ascii="新宋体" w:eastAsia="新宋体" w:hAnsi="新宋体" w:cs="宋体" w:hint="eastAsia"/>
          <w:szCs w:val="21"/>
        </w:rPr>
        <w:t>终止部</w:t>
      </w:r>
      <w:proofErr w:type="gramEnd"/>
      <w:r w:rsidRPr="002C1EE5">
        <w:rPr>
          <w:rFonts w:ascii="新宋体" w:eastAsia="新宋体" w:hAnsi="新宋体" w:cs="宋体" w:hint="eastAsia"/>
          <w:szCs w:val="21"/>
        </w:rPr>
        <w:t>份或全部协议。采购人可在任何时候出于自身的</w:t>
      </w:r>
      <w:proofErr w:type="gramStart"/>
      <w:r w:rsidRPr="002C1EE5">
        <w:rPr>
          <w:rFonts w:ascii="新宋体" w:eastAsia="新宋体" w:hAnsi="新宋体" w:cs="宋体" w:hint="eastAsia"/>
          <w:szCs w:val="21"/>
        </w:rPr>
        <w:t>便利向</w:t>
      </w:r>
      <w:proofErr w:type="gramEnd"/>
      <w:r w:rsidRPr="002C1EE5">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2C1EE5">
        <w:rPr>
          <w:rFonts w:ascii="新宋体" w:eastAsia="新宋体" w:hAnsi="新宋体" w:cs="宋体" w:hint="eastAsia"/>
          <w:szCs w:val="21"/>
        </w:rPr>
        <w:t>作出</w:t>
      </w:r>
      <w:proofErr w:type="gramEnd"/>
      <w:r w:rsidRPr="002C1EE5">
        <w:rPr>
          <w:rFonts w:ascii="新宋体" w:eastAsia="新宋体" w:hAnsi="新宋体" w:cs="宋体" w:hint="eastAsia"/>
          <w:szCs w:val="21"/>
        </w:rPr>
        <w:t>额外赔偿。</w:t>
      </w:r>
    </w:p>
    <w:p w14:paraId="6E1F80C7" w14:textId="77777777" w:rsidR="002C1EE5" w:rsidRPr="002C1EE5" w:rsidRDefault="002C1EE5" w:rsidP="002C1EE5">
      <w:pPr>
        <w:spacing w:line="360" w:lineRule="auto"/>
        <w:rPr>
          <w:rFonts w:ascii="新宋体" w:eastAsia="新宋体" w:hAnsi="新宋体" w:cs="宋体"/>
          <w:b/>
          <w:bCs/>
          <w:szCs w:val="21"/>
        </w:rPr>
      </w:pPr>
      <w:r w:rsidRPr="002C1EE5">
        <w:rPr>
          <w:rFonts w:ascii="新宋体" w:eastAsia="新宋体" w:hAnsi="新宋体" w:cs="宋体" w:hint="eastAsia"/>
          <w:b/>
          <w:bCs/>
          <w:szCs w:val="21"/>
        </w:rPr>
        <w:t>（十三）税费</w:t>
      </w:r>
    </w:p>
    <w:p w14:paraId="499C5318"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中国政府根据现行税法向中标人征收的与合同有关的一切税费均由中标人负责。</w:t>
      </w:r>
    </w:p>
    <w:p w14:paraId="0D2CA2DA" w14:textId="77777777" w:rsidR="002C1EE5" w:rsidRPr="002C1EE5" w:rsidRDefault="002C1EE5" w:rsidP="002C1EE5">
      <w:pPr>
        <w:keepNext/>
        <w:keepLines/>
        <w:spacing w:before="260" w:after="260"/>
        <w:outlineLvl w:val="2"/>
        <w:rPr>
          <w:rFonts w:ascii="新宋体" w:eastAsia="新宋体" w:hAnsi="新宋体" w:cs="Times New Roman"/>
          <w:b/>
          <w:bCs/>
          <w:kern w:val="44"/>
          <w:sz w:val="28"/>
          <w:szCs w:val="28"/>
        </w:rPr>
      </w:pPr>
      <w:r w:rsidRPr="002C1EE5">
        <w:rPr>
          <w:rFonts w:ascii="新宋体" w:eastAsia="新宋体" w:hAnsi="新宋体" w:cs="Times New Roman" w:hint="eastAsia"/>
          <w:b/>
          <w:bCs/>
          <w:kern w:val="44"/>
          <w:sz w:val="28"/>
          <w:szCs w:val="28"/>
        </w:rPr>
        <w:lastRenderedPageBreak/>
        <w:t>六、投标报价</w:t>
      </w:r>
    </w:p>
    <w:p w14:paraId="04704497"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203FB97"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4DD7CC89"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3.除非招标代理机构通过修改招标文件予以更正，否则，投标人应毫无例外地按招标文件所列的清单</w:t>
      </w:r>
      <w:proofErr w:type="gramStart"/>
      <w:r w:rsidRPr="002C1EE5">
        <w:rPr>
          <w:rFonts w:ascii="新宋体" w:eastAsia="新宋体" w:hAnsi="新宋体" w:cs="宋体" w:hint="eastAsia"/>
          <w:szCs w:val="21"/>
        </w:rPr>
        <w:t>中项目</w:t>
      </w:r>
      <w:proofErr w:type="gramEnd"/>
      <w:r w:rsidRPr="002C1EE5">
        <w:rPr>
          <w:rFonts w:ascii="新宋体" w:eastAsia="新宋体" w:hAnsi="新宋体" w:cs="宋体" w:hint="eastAsia"/>
          <w:szCs w:val="21"/>
        </w:rPr>
        <w:t>和数量填报综合单价或总价。投标人未</w:t>
      </w:r>
      <w:proofErr w:type="gramStart"/>
      <w:r w:rsidRPr="002C1EE5">
        <w:rPr>
          <w:rFonts w:ascii="新宋体" w:eastAsia="新宋体" w:hAnsi="新宋体" w:cs="宋体" w:hint="eastAsia"/>
          <w:szCs w:val="21"/>
        </w:rPr>
        <w:t>填综合</w:t>
      </w:r>
      <w:proofErr w:type="gramEnd"/>
      <w:r w:rsidRPr="002C1EE5">
        <w:rPr>
          <w:rFonts w:ascii="新宋体" w:eastAsia="新宋体" w:hAnsi="新宋体" w:cs="宋体" w:hint="eastAsia"/>
          <w:szCs w:val="21"/>
        </w:rPr>
        <w:t>单价或总价的项目，在实施后，将不得以支付，并视作该项费用已包括在其它有价款的综合单价或总价内。</w:t>
      </w:r>
    </w:p>
    <w:p w14:paraId="6ACE8732"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10258ACB"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B4A4A84" w14:textId="77777777" w:rsidR="002C1EE5" w:rsidRPr="002C1EE5" w:rsidRDefault="002C1EE5" w:rsidP="002C1EE5">
      <w:pPr>
        <w:spacing w:line="360" w:lineRule="auto"/>
        <w:rPr>
          <w:rFonts w:ascii="新宋体" w:eastAsia="新宋体" w:hAnsi="新宋体" w:cs="宋体"/>
          <w:szCs w:val="21"/>
        </w:rPr>
      </w:pPr>
      <w:r w:rsidRPr="002C1EE5">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3C196958" w14:textId="77777777" w:rsidR="002C1EE5" w:rsidRPr="002C1EE5" w:rsidRDefault="002C1EE5" w:rsidP="002C1EE5">
      <w:pPr>
        <w:spacing w:line="360" w:lineRule="auto"/>
        <w:rPr>
          <w:rFonts w:ascii="新宋体" w:eastAsia="新宋体" w:hAnsi="新宋体" w:cs="宋体"/>
          <w:color w:val="FF0000"/>
          <w:szCs w:val="21"/>
        </w:rPr>
      </w:pPr>
      <w:r w:rsidRPr="002C1EE5">
        <w:rPr>
          <w:rFonts w:ascii="新宋体" w:eastAsia="新宋体" w:hAnsi="新宋体" w:cs="宋体" w:hint="eastAsia"/>
          <w:color w:val="FF0000"/>
          <w:szCs w:val="21"/>
        </w:rPr>
        <w:t>7.★投标人按照招标文件要求，提供《投标分项报价表》，按照每一项服务内容分别进行报价，说明其投标报价的组成。</w:t>
      </w:r>
    </w:p>
    <w:p w14:paraId="75C7B9FB" w14:textId="51D94C3B" w:rsidR="00F516D7" w:rsidRPr="002C1EE5" w:rsidRDefault="00F516D7">
      <w:bookmarkStart w:id="0" w:name="_GoBack"/>
      <w:bookmarkEnd w:id="0"/>
    </w:p>
    <w:sectPr w:rsidR="00F516D7" w:rsidRPr="002C1E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8E4DC7" w14:textId="77777777" w:rsidR="002C1EE5" w:rsidRDefault="002C1EE5" w:rsidP="002C1EE5">
      <w:r>
        <w:separator/>
      </w:r>
    </w:p>
  </w:endnote>
  <w:endnote w:type="continuationSeparator" w:id="0">
    <w:p w14:paraId="3BB24B5A" w14:textId="77777777" w:rsidR="002C1EE5" w:rsidRDefault="002C1EE5" w:rsidP="002C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方正书宋_GBK"/>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472E3E" w14:textId="77777777" w:rsidR="002C1EE5" w:rsidRDefault="002C1EE5" w:rsidP="002C1EE5">
      <w:r>
        <w:separator/>
      </w:r>
    </w:p>
  </w:footnote>
  <w:footnote w:type="continuationSeparator" w:id="0">
    <w:p w14:paraId="7AE48715" w14:textId="77777777" w:rsidR="002C1EE5" w:rsidRDefault="002C1EE5" w:rsidP="002C1E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2C1EE5"/>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1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1EE5"/>
    <w:rPr>
      <w:sz w:val="18"/>
      <w:szCs w:val="18"/>
    </w:rPr>
  </w:style>
  <w:style w:type="paragraph" w:styleId="a4">
    <w:name w:val="footer"/>
    <w:basedOn w:val="a"/>
    <w:link w:val="Char0"/>
    <w:uiPriority w:val="99"/>
    <w:unhideWhenUsed/>
    <w:rsid w:val="002C1EE5"/>
    <w:pPr>
      <w:tabs>
        <w:tab w:val="center" w:pos="4153"/>
        <w:tab w:val="right" w:pos="8306"/>
      </w:tabs>
      <w:snapToGrid w:val="0"/>
      <w:jc w:val="left"/>
    </w:pPr>
    <w:rPr>
      <w:sz w:val="18"/>
      <w:szCs w:val="18"/>
    </w:rPr>
  </w:style>
  <w:style w:type="character" w:customStyle="1" w:styleId="Char0">
    <w:name w:val="页脚 Char"/>
    <w:basedOn w:val="a0"/>
    <w:link w:val="a4"/>
    <w:uiPriority w:val="99"/>
    <w:rsid w:val="002C1EE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1E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1EE5"/>
    <w:rPr>
      <w:sz w:val="18"/>
      <w:szCs w:val="18"/>
    </w:rPr>
  </w:style>
  <w:style w:type="paragraph" w:styleId="a4">
    <w:name w:val="footer"/>
    <w:basedOn w:val="a"/>
    <w:link w:val="Char0"/>
    <w:uiPriority w:val="99"/>
    <w:unhideWhenUsed/>
    <w:rsid w:val="002C1EE5"/>
    <w:pPr>
      <w:tabs>
        <w:tab w:val="center" w:pos="4153"/>
        <w:tab w:val="right" w:pos="8306"/>
      </w:tabs>
      <w:snapToGrid w:val="0"/>
      <w:jc w:val="left"/>
    </w:pPr>
    <w:rPr>
      <w:sz w:val="18"/>
      <w:szCs w:val="18"/>
    </w:rPr>
  </w:style>
  <w:style w:type="character" w:customStyle="1" w:styleId="Char0">
    <w:name w:val="页脚 Char"/>
    <w:basedOn w:val="a0"/>
    <w:link w:val="a4"/>
    <w:uiPriority w:val="99"/>
    <w:rsid w:val="002C1E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577</Words>
  <Characters>3292</Characters>
  <Application>Microsoft Office Word</Application>
  <DocSecurity>0</DocSecurity>
  <Lines>27</Lines>
  <Paragraphs>7</Paragraphs>
  <ScaleCrop>false</ScaleCrop>
  <Company/>
  <LinksUpToDate>false</LinksUpToDate>
  <CharactersWithSpaces>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2025-05-28T07:51:00Z</dcterms:modified>
</cp:coreProperties>
</file>