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91AAD" w14:textId="77777777" w:rsidR="00DE3C57" w:rsidRPr="00DE3C57" w:rsidRDefault="00DE3C57" w:rsidP="00DE3C57">
      <w:pPr>
        <w:keepNext/>
        <w:keepLines/>
        <w:spacing w:before="260" w:after="260"/>
        <w:outlineLvl w:val="2"/>
        <w:rPr>
          <w:rFonts w:ascii="新宋体" w:eastAsia="新宋体" w:hAnsi="新宋体" w:cs="Times New Roman"/>
          <w:b/>
          <w:bCs/>
          <w:kern w:val="44"/>
          <w:sz w:val="28"/>
          <w:szCs w:val="28"/>
        </w:rPr>
      </w:pPr>
      <w:r w:rsidRPr="00DE3C57">
        <w:rPr>
          <w:rFonts w:ascii="新宋体" w:eastAsia="新宋体" w:hAnsi="新宋体" w:cs="Times New Roman" w:hint="eastAsia"/>
          <w:b/>
          <w:bCs/>
          <w:kern w:val="44"/>
          <w:sz w:val="28"/>
          <w:szCs w:val="28"/>
        </w:rPr>
        <w:t>三、项目概况</w:t>
      </w:r>
    </w:p>
    <w:p w14:paraId="7C1133AA"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（一）</w:t>
      </w:r>
      <w:r w:rsidRPr="00DE3C57">
        <w:rPr>
          <w:rFonts w:ascii="新宋体" w:eastAsia="新宋体" w:hAnsi="新宋体" w:cs="宋体"/>
          <w:szCs w:val="21"/>
        </w:rPr>
        <w:t>预算</w:t>
      </w:r>
      <w:r w:rsidRPr="00DE3C57">
        <w:rPr>
          <w:rFonts w:ascii="新宋体" w:eastAsia="新宋体" w:hAnsi="新宋体" w:cs="宋体" w:hint="eastAsia"/>
          <w:szCs w:val="21"/>
        </w:rPr>
        <w:t>金额: 人民币壹拾壹万元（110,000.00），</w:t>
      </w:r>
      <w:r w:rsidRPr="00DE3C57">
        <w:rPr>
          <w:rFonts w:ascii="新宋体" w:eastAsia="新宋体" w:hAnsi="新宋体" w:cs="宋体"/>
          <w:szCs w:val="21"/>
        </w:rPr>
        <w:t>最高投标限价</w:t>
      </w:r>
      <w:r w:rsidRPr="00DE3C57">
        <w:rPr>
          <w:rFonts w:ascii="新宋体" w:eastAsia="新宋体" w:hAnsi="新宋体" w:cs="宋体" w:hint="eastAsia"/>
          <w:szCs w:val="21"/>
        </w:rPr>
        <w:t>:</w:t>
      </w:r>
      <w:r w:rsidRPr="00DE3C57">
        <w:rPr>
          <w:rFonts w:ascii="Times New Roman" w:eastAsia="宋体" w:hAnsi="Times New Roman" w:cs="Times New Roman" w:hint="eastAsia"/>
          <w:szCs w:val="24"/>
        </w:rPr>
        <w:t xml:space="preserve"> </w:t>
      </w:r>
      <w:r w:rsidRPr="00DE3C57">
        <w:rPr>
          <w:rFonts w:ascii="新宋体" w:eastAsia="新宋体" w:hAnsi="新宋体" w:cs="宋体" w:hint="eastAsia"/>
          <w:szCs w:val="21"/>
        </w:rPr>
        <w:t>人民币壹拾壹万元（110,000.00）</w:t>
      </w:r>
    </w:p>
    <w:p w14:paraId="3AF7F246"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 xml:space="preserve">（二）项目概况: </w:t>
      </w:r>
    </w:p>
    <w:p w14:paraId="55164876" w14:textId="77777777" w:rsidR="00DE3C57" w:rsidRPr="00DE3C57" w:rsidRDefault="00DE3C57" w:rsidP="00DE3C57">
      <w:pPr>
        <w:spacing w:line="360" w:lineRule="auto"/>
        <w:ind w:firstLineChars="202" w:firstLine="424"/>
        <w:rPr>
          <w:rFonts w:ascii="新宋体" w:eastAsia="新宋体" w:hAnsi="新宋体" w:cs="宋体"/>
          <w:szCs w:val="21"/>
        </w:rPr>
      </w:pPr>
      <w:r w:rsidRPr="00DE3C57">
        <w:rPr>
          <w:rFonts w:ascii="新宋体" w:eastAsia="新宋体" w:hAnsi="新宋体" w:cs="宋体" w:hint="eastAsia"/>
          <w:szCs w:val="21"/>
        </w:rPr>
        <w:t>根据公安部发布的《建筑消防设施检测技术规程》（GA503-2023）、深圳市消防安全委员会《关于明确消防设施维护保养检测技术服务工作有关事项的通知》、《广东省监狱系统安全生产工作规定》（</w:t>
      </w:r>
      <w:proofErr w:type="gramStart"/>
      <w:r w:rsidRPr="00DE3C57">
        <w:rPr>
          <w:rFonts w:ascii="新宋体" w:eastAsia="新宋体" w:hAnsi="新宋体" w:cs="宋体" w:hint="eastAsia"/>
          <w:szCs w:val="21"/>
        </w:rPr>
        <w:t>粤狱办</w:t>
      </w:r>
      <w:proofErr w:type="gramEnd"/>
      <w:r w:rsidRPr="00DE3C57">
        <w:rPr>
          <w:rFonts w:ascii="新宋体" w:eastAsia="新宋体" w:hAnsi="新宋体" w:cs="宋体" w:hint="eastAsia"/>
          <w:szCs w:val="21"/>
        </w:rPr>
        <w:t>[2020]133号）等文件精神和深圳监狱安全监管需要，计划对深圳监狱消防设施开展建筑消防设施安全检测。</w:t>
      </w:r>
    </w:p>
    <w:p w14:paraId="52E6B952" w14:textId="77777777" w:rsidR="00DE3C57" w:rsidRPr="00DE3C57" w:rsidRDefault="00DE3C57" w:rsidP="00DE3C57">
      <w:pPr>
        <w:rPr>
          <w:rFonts w:ascii="新宋体" w:eastAsia="新宋体" w:hAnsi="新宋体" w:cs="Times New Roman"/>
          <w:b/>
          <w:bCs/>
          <w:szCs w:val="21"/>
        </w:rPr>
      </w:pPr>
    </w:p>
    <w:p w14:paraId="7860728D" w14:textId="77777777" w:rsidR="00DE3C57" w:rsidRPr="00DE3C57" w:rsidRDefault="00DE3C57" w:rsidP="00DE3C57">
      <w:pPr>
        <w:keepNext/>
        <w:keepLines/>
        <w:spacing w:before="260" w:after="260"/>
        <w:outlineLvl w:val="2"/>
        <w:rPr>
          <w:rFonts w:ascii="新宋体" w:eastAsia="新宋体" w:hAnsi="新宋体" w:cs="Times New Roman"/>
          <w:b/>
          <w:bCs/>
          <w:kern w:val="44"/>
          <w:sz w:val="28"/>
          <w:szCs w:val="28"/>
        </w:rPr>
      </w:pPr>
      <w:r w:rsidRPr="00DE3C57">
        <w:rPr>
          <w:rFonts w:ascii="新宋体" w:eastAsia="新宋体" w:hAnsi="新宋体" w:cs="Times New Roman" w:hint="eastAsia"/>
          <w:b/>
          <w:bCs/>
          <w:kern w:val="44"/>
          <w:sz w:val="28"/>
          <w:szCs w:val="28"/>
        </w:rPr>
        <w:t>四、项目技术要求</w:t>
      </w:r>
    </w:p>
    <w:p w14:paraId="27177D6A" w14:textId="77777777" w:rsidR="00DE3C57" w:rsidRPr="00DE3C57" w:rsidRDefault="00DE3C57" w:rsidP="00DE3C57">
      <w:pPr>
        <w:spacing w:line="360" w:lineRule="auto"/>
        <w:rPr>
          <w:rFonts w:ascii="新宋体" w:eastAsia="新宋体" w:hAnsi="新宋体" w:cs="宋体"/>
          <w:b/>
          <w:szCs w:val="21"/>
        </w:rPr>
      </w:pPr>
      <w:r w:rsidRPr="00DE3C57">
        <w:rPr>
          <w:rFonts w:ascii="新宋体" w:eastAsia="新宋体" w:hAnsi="新宋体" w:cs="宋体" w:hint="eastAsia"/>
          <w:b/>
          <w:szCs w:val="21"/>
        </w:rPr>
        <w:t>（一）深圳监狱消防设施检测服务项目需求指标明细</w:t>
      </w:r>
    </w:p>
    <w:p w14:paraId="4B331E74"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t>1.建筑物情况：</w:t>
      </w:r>
      <w:r w:rsidRPr="00DE3C57">
        <w:rPr>
          <w:rFonts w:ascii="新宋体" w:eastAsia="新宋体" w:hAnsi="新宋体" w:cs="Times New Roman" w:hint="eastAsia"/>
          <w:b/>
          <w:szCs w:val="24"/>
        </w:rPr>
        <w:tab/>
      </w:r>
    </w:p>
    <w:p w14:paraId="032424E8"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广东省深圳监狱是一所高标准建设的现代化文明监狱、规范化示范监狱，位于深圳市</w:t>
      </w:r>
      <w:proofErr w:type="gramStart"/>
      <w:r w:rsidRPr="00DE3C57">
        <w:rPr>
          <w:rFonts w:ascii="新宋体" w:eastAsia="新宋体" w:hAnsi="新宋体" w:cs="Times New Roman" w:hint="eastAsia"/>
          <w:szCs w:val="24"/>
        </w:rPr>
        <w:t>坪山区</w:t>
      </w:r>
      <w:proofErr w:type="gramEnd"/>
      <w:r w:rsidRPr="00DE3C57">
        <w:rPr>
          <w:rFonts w:ascii="新宋体" w:eastAsia="新宋体" w:hAnsi="新宋体" w:cs="Times New Roman" w:hint="eastAsia"/>
          <w:szCs w:val="24"/>
        </w:rPr>
        <w:t>石井街道，隶属于深圳市司法局。1996年动工建设，2000年正式投入使用，距今已有20多年。监狱包括40余栋建筑，总建筑面积约17.4万平方米，。</w:t>
      </w:r>
    </w:p>
    <w:p w14:paraId="1CA886D0"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t>2. 主要检测项目包含以下系统：</w:t>
      </w:r>
    </w:p>
    <w:p w14:paraId="0848ABB1"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01消防供配电系统</w:t>
      </w:r>
      <w:r w:rsidRPr="00DE3C57">
        <w:rPr>
          <w:rFonts w:ascii="新宋体" w:eastAsia="新宋体" w:hAnsi="新宋体" w:cs="Times New Roman" w:hint="eastAsia"/>
          <w:szCs w:val="24"/>
        </w:rPr>
        <w:tab/>
      </w:r>
    </w:p>
    <w:p w14:paraId="66EF4C69"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02火灾自动报警系统</w:t>
      </w:r>
      <w:r w:rsidRPr="00DE3C57">
        <w:rPr>
          <w:rFonts w:ascii="新宋体" w:eastAsia="新宋体" w:hAnsi="新宋体" w:cs="Times New Roman" w:hint="eastAsia"/>
          <w:szCs w:val="24"/>
        </w:rPr>
        <w:tab/>
      </w:r>
    </w:p>
    <w:p w14:paraId="0553514F"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03消防给水</w:t>
      </w:r>
      <w:r w:rsidRPr="00DE3C57">
        <w:rPr>
          <w:rFonts w:ascii="新宋体" w:eastAsia="新宋体" w:hAnsi="新宋体" w:cs="Times New Roman" w:hint="eastAsia"/>
          <w:szCs w:val="24"/>
        </w:rPr>
        <w:tab/>
      </w:r>
    </w:p>
    <w:p w14:paraId="6862EC29"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04消火栓系统</w:t>
      </w:r>
      <w:r w:rsidRPr="00DE3C57">
        <w:rPr>
          <w:rFonts w:ascii="新宋体" w:eastAsia="新宋体" w:hAnsi="新宋体" w:cs="Times New Roman" w:hint="eastAsia"/>
          <w:szCs w:val="24"/>
        </w:rPr>
        <w:tab/>
      </w:r>
    </w:p>
    <w:p w14:paraId="360ABE08"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05自动喷水灭火系统</w:t>
      </w:r>
    </w:p>
    <w:p w14:paraId="55290A47"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06防排烟系统</w:t>
      </w:r>
      <w:r w:rsidRPr="00DE3C57">
        <w:rPr>
          <w:rFonts w:ascii="新宋体" w:eastAsia="新宋体" w:hAnsi="新宋体" w:cs="Times New Roman" w:hint="eastAsia"/>
          <w:szCs w:val="24"/>
        </w:rPr>
        <w:tab/>
      </w:r>
    </w:p>
    <w:p w14:paraId="227C29AD"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07防火分隔设施□</w:t>
      </w:r>
    </w:p>
    <w:p w14:paraId="10578A32"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08气体灭火系统</w:t>
      </w:r>
    </w:p>
    <w:p w14:paraId="095D6A6C"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09应急照明和疏散指示标志系统</w:t>
      </w:r>
    </w:p>
    <w:p w14:paraId="5FC864EF"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10建筑灭火器</w:t>
      </w:r>
    </w:p>
    <w:p w14:paraId="25D50B67"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11其他</w:t>
      </w:r>
      <w:r w:rsidRPr="00DE3C57">
        <w:rPr>
          <w:rFonts w:ascii="新宋体" w:eastAsia="新宋体" w:hAnsi="新宋体" w:cs="Times New Roman" w:hint="eastAsia"/>
          <w:szCs w:val="24"/>
        </w:rPr>
        <w:tab/>
      </w:r>
    </w:p>
    <w:p w14:paraId="79233B71"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lastRenderedPageBreak/>
        <w:t>3. 项目检测人员架构及配置要求</w:t>
      </w:r>
    </w:p>
    <w:p w14:paraId="57AC53C3"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（1）项目检测人员架构及配置要求管理岗位要求(1人)：具备一级注册消防工程师资质，熟悉国家消防法规，精通消防设备检测业务流程；</w:t>
      </w:r>
    </w:p>
    <w:p w14:paraId="09164778"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（2）检测岗位要求：不少于6人需持中级建（构）筑物消防员证，且持有相应资质的电工操作证，具有中级建（构）筑物消防员证可同时具有电工操作证。</w:t>
      </w:r>
    </w:p>
    <w:p w14:paraId="36C08216"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3）技术支持人员要求：技术支持人员系消防专业工程师，熟悉掌握消防自动报警系统原理和编程操作，并经消防系统主控设备生产厂或其授权单位专业培训，具备消防主控设备软、硬件维护和保养能力。技术支持人员应在提前约定时间内，及时到现场处理相关问题（说明项）。</w:t>
      </w:r>
    </w:p>
    <w:p w14:paraId="124B6860"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t>4.</w:t>
      </w:r>
      <w:r w:rsidRPr="00DE3C57">
        <w:rPr>
          <w:rFonts w:ascii="Times New Roman" w:eastAsia="宋体" w:hAnsi="Times New Roman" w:cs="Times New Roman" w:hint="eastAsia"/>
          <w:b/>
          <w:szCs w:val="24"/>
        </w:rPr>
        <w:t xml:space="preserve"> </w:t>
      </w:r>
      <w:r w:rsidRPr="00DE3C57">
        <w:rPr>
          <w:rFonts w:ascii="新宋体" w:eastAsia="新宋体" w:hAnsi="新宋体" w:cs="Times New Roman" w:hint="eastAsia"/>
          <w:b/>
          <w:szCs w:val="24"/>
        </w:rPr>
        <w:t>检测方案编制必须依据国家相关消防法规。</w:t>
      </w:r>
    </w:p>
    <w:p w14:paraId="71EFF14E"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t>5.</w:t>
      </w:r>
      <w:r w:rsidRPr="00DE3C57">
        <w:rPr>
          <w:rFonts w:ascii="Times New Roman" w:eastAsia="宋体" w:hAnsi="Times New Roman" w:cs="Times New Roman" w:hint="eastAsia"/>
          <w:b/>
          <w:szCs w:val="24"/>
        </w:rPr>
        <w:t xml:space="preserve"> </w:t>
      </w:r>
      <w:r w:rsidRPr="00DE3C57">
        <w:rPr>
          <w:rFonts w:ascii="Times New Roman" w:eastAsia="宋体" w:hAnsi="Times New Roman" w:cs="Times New Roman" w:hint="eastAsia"/>
          <w:b/>
          <w:szCs w:val="24"/>
        </w:rPr>
        <w:t>★</w:t>
      </w:r>
      <w:r w:rsidRPr="00DE3C57">
        <w:rPr>
          <w:rFonts w:ascii="新宋体" w:eastAsia="新宋体" w:hAnsi="新宋体" w:cs="Times New Roman" w:hint="eastAsia"/>
          <w:b/>
          <w:szCs w:val="24"/>
        </w:rPr>
        <w:t>检测要求</w:t>
      </w:r>
    </w:p>
    <w:p w14:paraId="1D0933A6"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w:t>
      </w:r>
      <w:r w:rsidRPr="00DE3C57">
        <w:rPr>
          <w:rFonts w:ascii="新宋体" w:eastAsia="新宋体" w:hAnsi="新宋体" w:cs="Times New Roman" w:hint="eastAsia"/>
          <w:szCs w:val="24"/>
        </w:rPr>
        <w:tab/>
        <w:t>中标人在</w:t>
      </w:r>
      <w:proofErr w:type="gramStart"/>
      <w:r w:rsidRPr="00DE3C57">
        <w:rPr>
          <w:rFonts w:ascii="新宋体" w:eastAsia="新宋体" w:hAnsi="新宋体" w:cs="Times New Roman" w:hint="eastAsia"/>
          <w:szCs w:val="24"/>
        </w:rPr>
        <w:t>签定</w:t>
      </w:r>
      <w:proofErr w:type="gramEnd"/>
      <w:r w:rsidRPr="00DE3C57">
        <w:rPr>
          <w:rFonts w:ascii="新宋体" w:eastAsia="新宋体" w:hAnsi="新宋体" w:cs="Times New Roman" w:hint="eastAsia"/>
          <w:szCs w:val="24"/>
        </w:rPr>
        <w:t>消防检测合同后，需配备足够的具有相关工作经验的技术人员，按期完成检测工作，出具检测报告。</w:t>
      </w:r>
    </w:p>
    <w:p w14:paraId="050F39F4"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(2)</w:t>
      </w:r>
      <w:r w:rsidRPr="00DE3C57">
        <w:rPr>
          <w:rFonts w:ascii="新宋体" w:eastAsia="新宋体" w:hAnsi="新宋体" w:cs="Times New Roman" w:hint="eastAsia"/>
          <w:szCs w:val="24"/>
        </w:rPr>
        <w:tab/>
        <w:t>如检测报告结果判定为不合格，应免费出具不合格意见、整改方案（含工程量清单及预估造价）。整改完后，再次提供复检直到符合消防要求并出具报告，提交相应上级管理部门或公安消防部门备案。</w:t>
      </w:r>
    </w:p>
    <w:p w14:paraId="342F0688"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(3)</w:t>
      </w:r>
      <w:r w:rsidRPr="00DE3C57">
        <w:rPr>
          <w:rFonts w:ascii="新宋体" w:eastAsia="新宋体" w:hAnsi="新宋体" w:cs="Times New Roman" w:hint="eastAsia"/>
          <w:szCs w:val="24"/>
        </w:rPr>
        <w:tab/>
        <w:t>招标人整改完成后，免费提供一次复检。</w:t>
      </w:r>
    </w:p>
    <w:p w14:paraId="0B1A4E6D"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(4)</w:t>
      </w:r>
      <w:r w:rsidRPr="00DE3C57">
        <w:rPr>
          <w:rFonts w:ascii="新宋体" w:eastAsia="新宋体" w:hAnsi="新宋体" w:cs="Times New Roman" w:hint="eastAsia"/>
          <w:szCs w:val="24"/>
        </w:rPr>
        <w:tab/>
        <w:t>出具检测报告后并配合提送消防（相应上级管理部门）安全部门备案。</w:t>
      </w:r>
    </w:p>
    <w:p w14:paraId="0B3F55DC"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b/>
          <w:szCs w:val="24"/>
        </w:rPr>
        <w:t>6.</w:t>
      </w:r>
      <w:r w:rsidRPr="00DE3C57">
        <w:rPr>
          <w:rFonts w:ascii="Times New Roman" w:eastAsia="宋体" w:hAnsi="Times New Roman" w:cs="Times New Roman" w:hint="eastAsia"/>
          <w:b/>
          <w:szCs w:val="24"/>
        </w:rPr>
        <w:t xml:space="preserve"> </w:t>
      </w:r>
      <w:r w:rsidRPr="00DE3C57">
        <w:rPr>
          <w:rFonts w:ascii="Times New Roman" w:eastAsia="宋体" w:hAnsi="Times New Roman" w:cs="Times New Roman" w:hint="eastAsia"/>
          <w:b/>
          <w:szCs w:val="24"/>
        </w:rPr>
        <w:t>★</w:t>
      </w:r>
      <w:r w:rsidRPr="00DE3C57">
        <w:rPr>
          <w:rFonts w:ascii="新宋体" w:eastAsia="新宋体" w:hAnsi="新宋体" w:cs="Times New Roman" w:hint="eastAsia"/>
          <w:b/>
          <w:szCs w:val="24"/>
        </w:rPr>
        <w:t>其他要求</w:t>
      </w:r>
    </w:p>
    <w:p w14:paraId="17CD9D7C"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(1)招标人在本招标书中提供的所有资料，仅供投标人投标参考之用，不得外泄第三方或用于其他用途。</w:t>
      </w:r>
    </w:p>
    <w:p w14:paraId="461F593D"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(2)项目检测过程要有真实记录，所需照片及视频要求如下：</w:t>
      </w:r>
    </w:p>
    <w:p w14:paraId="3BAF6608"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1)</w:t>
      </w:r>
      <w:r w:rsidRPr="00DE3C57">
        <w:rPr>
          <w:rFonts w:ascii="新宋体" w:eastAsia="新宋体" w:hAnsi="新宋体" w:cs="Times New Roman" w:hint="eastAsia"/>
          <w:szCs w:val="24"/>
        </w:rPr>
        <w:tab/>
        <w:t>探测器、手动报警按钮、消火栓按钮、电话等单点测试视频每段不小于2分钟；</w:t>
      </w:r>
    </w:p>
    <w:p w14:paraId="52EA17D2"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2)</w:t>
      </w:r>
      <w:r w:rsidRPr="00DE3C57">
        <w:rPr>
          <w:rFonts w:ascii="新宋体" w:eastAsia="新宋体" w:hAnsi="新宋体" w:cs="Times New Roman" w:hint="eastAsia"/>
          <w:szCs w:val="24"/>
        </w:rPr>
        <w:tab/>
        <w:t>消火栓静压、动压测试视频每段不小于3分钟；</w:t>
      </w:r>
    </w:p>
    <w:p w14:paraId="79A0C819" w14:textId="77777777" w:rsidR="00DE3C57" w:rsidRPr="00DE3C57" w:rsidRDefault="00DE3C57" w:rsidP="00DE3C57">
      <w:pPr>
        <w:spacing w:line="360" w:lineRule="auto"/>
        <w:rPr>
          <w:rFonts w:ascii="新宋体" w:eastAsia="新宋体" w:hAnsi="新宋体" w:cs="Times New Roman"/>
          <w:szCs w:val="24"/>
        </w:rPr>
      </w:pPr>
      <w:r w:rsidRPr="00DE3C57">
        <w:rPr>
          <w:rFonts w:ascii="新宋体" w:eastAsia="新宋体" w:hAnsi="新宋体" w:cs="Times New Roman" w:hint="eastAsia"/>
          <w:szCs w:val="24"/>
        </w:rPr>
        <w:t>3)</w:t>
      </w:r>
      <w:r w:rsidRPr="00DE3C57">
        <w:rPr>
          <w:rFonts w:ascii="新宋体" w:eastAsia="新宋体" w:hAnsi="新宋体" w:cs="Times New Roman" w:hint="eastAsia"/>
          <w:szCs w:val="24"/>
        </w:rPr>
        <w:tab/>
        <w:t>联动测试视频要求：消火栓充实水柱实验视频、湿式报警阀联动测试视频、烟感联动广播、警铃的视频、气体联动测试视频、防排烟联动视频等；</w:t>
      </w:r>
    </w:p>
    <w:p w14:paraId="28296E1B" w14:textId="77777777" w:rsidR="00DE3C57" w:rsidRPr="00DE3C57" w:rsidRDefault="00DE3C57" w:rsidP="00DE3C57">
      <w:pPr>
        <w:spacing w:line="360" w:lineRule="auto"/>
        <w:rPr>
          <w:rFonts w:ascii="新宋体" w:eastAsia="新宋体" w:hAnsi="新宋体" w:cs="Times New Roman"/>
          <w:b/>
          <w:szCs w:val="24"/>
        </w:rPr>
      </w:pPr>
      <w:r w:rsidRPr="00DE3C57">
        <w:rPr>
          <w:rFonts w:ascii="新宋体" w:eastAsia="新宋体" w:hAnsi="新宋体" w:cs="Times New Roman" w:hint="eastAsia"/>
          <w:szCs w:val="24"/>
        </w:rPr>
        <w:t>4)</w:t>
      </w:r>
      <w:r w:rsidRPr="00DE3C57">
        <w:rPr>
          <w:rFonts w:ascii="新宋体" w:eastAsia="新宋体" w:hAnsi="新宋体" w:cs="Times New Roman" w:hint="eastAsia"/>
          <w:szCs w:val="24"/>
        </w:rPr>
        <w:tab/>
        <w:t>中标人在检测期间，须对可能存在风险和危险区域设置警示标识并采取有效的预防防护措施。如作业前后发现因未设置任何警示或未采取有效预防防护措施而导致事故的，中标人除承担由此产生的全部法律责任外，还将受到采购人的处罚；如因此造成采购人或第三</w:t>
      </w:r>
      <w:proofErr w:type="gramStart"/>
      <w:r w:rsidRPr="00DE3C57">
        <w:rPr>
          <w:rFonts w:ascii="新宋体" w:eastAsia="新宋体" w:hAnsi="新宋体" w:cs="Times New Roman" w:hint="eastAsia"/>
          <w:szCs w:val="24"/>
        </w:rPr>
        <w:t>方财产</w:t>
      </w:r>
      <w:proofErr w:type="gramEnd"/>
      <w:r w:rsidRPr="00DE3C57">
        <w:rPr>
          <w:rFonts w:ascii="新宋体" w:eastAsia="新宋体" w:hAnsi="新宋体" w:cs="Times New Roman" w:hint="eastAsia"/>
          <w:szCs w:val="24"/>
        </w:rPr>
        <w:t>损失、人身伤害的，中标人承担全部法律责任；如因中标人现场管理不当影响采购人正常</w:t>
      </w:r>
      <w:r w:rsidRPr="00DE3C57">
        <w:rPr>
          <w:rFonts w:ascii="新宋体" w:eastAsia="新宋体" w:hAnsi="新宋体" w:cs="Times New Roman" w:hint="eastAsia"/>
          <w:szCs w:val="24"/>
        </w:rPr>
        <w:lastRenderedPageBreak/>
        <w:t>运营而给采购人造成的损失的，中标人须承担经济赔偿责任。</w:t>
      </w:r>
    </w:p>
    <w:p w14:paraId="5871C192" w14:textId="77777777" w:rsidR="00DE3C57" w:rsidRPr="00DE3C57" w:rsidRDefault="00DE3C57" w:rsidP="00DE3C57">
      <w:pPr>
        <w:rPr>
          <w:rFonts w:ascii="新宋体" w:eastAsia="新宋体" w:hAnsi="新宋体" w:cs="宋体"/>
          <w:b/>
          <w:szCs w:val="21"/>
        </w:rPr>
      </w:pPr>
      <w:bookmarkStart w:id="0" w:name="_Toc16711654"/>
      <w:r w:rsidRPr="00DE3C57">
        <w:rPr>
          <w:rFonts w:ascii="新宋体" w:eastAsia="新宋体" w:hAnsi="新宋体" w:cs="宋体" w:hint="eastAsia"/>
          <w:b/>
          <w:szCs w:val="21"/>
        </w:rPr>
        <w:t>（二）项目设备明细清单</w:t>
      </w:r>
      <w:bookmarkEnd w:id="0"/>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0"/>
        <w:gridCol w:w="445"/>
        <w:gridCol w:w="461"/>
        <w:gridCol w:w="461"/>
        <w:gridCol w:w="461"/>
        <w:gridCol w:w="461"/>
        <w:gridCol w:w="461"/>
        <w:gridCol w:w="461"/>
        <w:gridCol w:w="461"/>
        <w:gridCol w:w="461"/>
        <w:gridCol w:w="461"/>
        <w:gridCol w:w="461"/>
        <w:gridCol w:w="461"/>
        <w:gridCol w:w="461"/>
        <w:gridCol w:w="461"/>
        <w:gridCol w:w="1133"/>
      </w:tblGrid>
      <w:tr w:rsidR="00DE3C57" w:rsidRPr="00DE3C57" w14:paraId="24E3129E" w14:textId="77777777" w:rsidTr="00615857">
        <w:trPr>
          <w:trHeight w:val="510"/>
        </w:trPr>
        <w:tc>
          <w:tcPr>
            <w:tcW w:w="1530" w:type="dxa"/>
            <w:tcBorders>
              <w:tl2br w:val="single" w:sz="4" w:space="0" w:color="auto"/>
            </w:tcBorders>
            <w:tcMar>
              <w:top w:w="15" w:type="dxa"/>
              <w:left w:w="15" w:type="dxa"/>
              <w:right w:w="15" w:type="dxa"/>
            </w:tcMar>
            <w:vAlign w:val="center"/>
          </w:tcPr>
          <w:p w14:paraId="1F1BEDFC" w14:textId="77777777" w:rsidR="00DE3C57" w:rsidRPr="00DE3C57" w:rsidRDefault="00DE3C57" w:rsidP="00DE3C57">
            <w:pPr>
              <w:widowControl/>
              <w:jc w:val="center"/>
              <w:textAlignment w:val="center"/>
              <w:rPr>
                <w:rFonts w:ascii="宋体" w:eastAsia="宋体" w:hAnsi="宋体" w:cs="宋体"/>
                <w:kern w:val="0"/>
                <w:szCs w:val="21"/>
                <w:lang w:bidi="ar"/>
              </w:rPr>
            </w:pPr>
            <w:r w:rsidRPr="00DE3C57">
              <w:rPr>
                <w:rFonts w:ascii="宋体" w:eastAsia="宋体" w:hAnsi="宋体" w:cs="宋体" w:hint="eastAsia"/>
                <w:kern w:val="0"/>
                <w:szCs w:val="21"/>
                <w:lang w:bidi="ar"/>
              </w:rPr>
              <w:t xml:space="preserve">      </w:t>
            </w:r>
          </w:p>
          <w:p w14:paraId="0D859E43" w14:textId="77777777" w:rsidR="00DE3C57" w:rsidRPr="00DE3C57" w:rsidRDefault="00DE3C57" w:rsidP="00DE3C57">
            <w:pPr>
              <w:widowControl/>
              <w:jc w:val="center"/>
              <w:textAlignment w:val="center"/>
              <w:rPr>
                <w:rFonts w:ascii="宋体" w:eastAsia="宋体" w:hAnsi="宋体" w:cs="宋体"/>
                <w:kern w:val="0"/>
                <w:szCs w:val="21"/>
                <w:lang w:bidi="ar"/>
              </w:rPr>
            </w:pPr>
            <w:r w:rsidRPr="00DE3C57">
              <w:rPr>
                <w:rFonts w:ascii="宋体" w:eastAsia="宋体" w:hAnsi="宋体" w:cs="宋体" w:hint="eastAsia"/>
                <w:kern w:val="0"/>
                <w:szCs w:val="21"/>
                <w:lang w:bidi="ar"/>
              </w:rPr>
              <w:t xml:space="preserve">     器材数量</w:t>
            </w:r>
          </w:p>
          <w:p w14:paraId="5A152F47" w14:textId="77777777" w:rsidR="00DE3C57" w:rsidRPr="00DE3C57" w:rsidRDefault="00DE3C57" w:rsidP="00DE3C57">
            <w:pPr>
              <w:widowControl/>
              <w:jc w:val="center"/>
              <w:textAlignment w:val="center"/>
              <w:rPr>
                <w:rFonts w:ascii="宋体" w:eastAsia="宋体" w:hAnsi="宋体" w:cs="宋体"/>
                <w:kern w:val="0"/>
                <w:szCs w:val="21"/>
                <w:lang w:bidi="ar"/>
              </w:rPr>
            </w:pPr>
          </w:p>
          <w:p w14:paraId="79C3A6CF" w14:textId="77777777" w:rsidR="00DE3C57" w:rsidRPr="00DE3C57" w:rsidRDefault="00DE3C57" w:rsidP="00DE3C57">
            <w:pPr>
              <w:widowControl/>
              <w:jc w:val="center"/>
              <w:textAlignment w:val="center"/>
              <w:rPr>
                <w:rFonts w:ascii="宋体" w:eastAsia="宋体" w:hAnsi="宋体" w:cs="宋体"/>
                <w:kern w:val="0"/>
                <w:szCs w:val="21"/>
                <w:lang w:bidi="ar"/>
              </w:rPr>
            </w:pPr>
          </w:p>
          <w:p w14:paraId="61E3423E" w14:textId="77777777" w:rsidR="00DE3C57" w:rsidRPr="00DE3C57" w:rsidRDefault="00DE3C57" w:rsidP="00DE3C57">
            <w:pPr>
              <w:widowControl/>
              <w:jc w:val="left"/>
              <w:textAlignment w:val="center"/>
              <w:rPr>
                <w:rFonts w:ascii="宋体" w:eastAsia="宋体" w:hAnsi="宋体" w:cs="宋体"/>
                <w:kern w:val="0"/>
                <w:szCs w:val="21"/>
                <w:lang w:bidi="ar"/>
              </w:rPr>
            </w:pPr>
            <w:r w:rsidRPr="00DE3C57">
              <w:rPr>
                <w:rFonts w:ascii="宋体" w:eastAsia="宋体" w:hAnsi="宋体" w:cs="宋体" w:hint="eastAsia"/>
                <w:kern w:val="0"/>
                <w:szCs w:val="21"/>
                <w:lang w:bidi="ar"/>
              </w:rPr>
              <w:t xml:space="preserve">   楼宇</w:t>
            </w:r>
          </w:p>
          <w:p w14:paraId="667125DA" w14:textId="77777777" w:rsidR="00DE3C57" w:rsidRPr="00DE3C57" w:rsidRDefault="00DE3C57" w:rsidP="00DE3C57">
            <w:pPr>
              <w:widowControl/>
              <w:jc w:val="center"/>
              <w:textAlignment w:val="center"/>
              <w:rPr>
                <w:rFonts w:ascii="宋体" w:eastAsia="宋体" w:hAnsi="宋体" w:cs="宋体"/>
                <w:szCs w:val="21"/>
              </w:rPr>
            </w:pPr>
          </w:p>
        </w:tc>
        <w:tc>
          <w:tcPr>
            <w:tcW w:w="445" w:type="dxa"/>
            <w:tcMar>
              <w:top w:w="15" w:type="dxa"/>
              <w:left w:w="15" w:type="dxa"/>
              <w:right w:w="15" w:type="dxa"/>
            </w:tcMar>
            <w:vAlign w:val="center"/>
          </w:tcPr>
          <w:p w14:paraId="1DC61A8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消防主机</w:t>
            </w:r>
          </w:p>
        </w:tc>
        <w:tc>
          <w:tcPr>
            <w:tcW w:w="461" w:type="dxa"/>
            <w:tcMar>
              <w:top w:w="15" w:type="dxa"/>
              <w:left w:w="15" w:type="dxa"/>
              <w:right w:w="15" w:type="dxa"/>
            </w:tcMar>
            <w:vAlign w:val="center"/>
          </w:tcPr>
          <w:p w14:paraId="53F469F5"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烟感器</w:t>
            </w:r>
          </w:p>
        </w:tc>
        <w:tc>
          <w:tcPr>
            <w:tcW w:w="461" w:type="dxa"/>
            <w:tcMar>
              <w:top w:w="15" w:type="dxa"/>
              <w:left w:w="15" w:type="dxa"/>
              <w:right w:w="15" w:type="dxa"/>
            </w:tcMar>
            <w:vAlign w:val="center"/>
          </w:tcPr>
          <w:p w14:paraId="6291CFB1"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消防广播</w:t>
            </w:r>
          </w:p>
        </w:tc>
        <w:tc>
          <w:tcPr>
            <w:tcW w:w="461" w:type="dxa"/>
            <w:tcMar>
              <w:top w:w="15" w:type="dxa"/>
              <w:left w:w="15" w:type="dxa"/>
              <w:right w:w="15" w:type="dxa"/>
            </w:tcMar>
            <w:vAlign w:val="center"/>
          </w:tcPr>
          <w:p w14:paraId="0ED9A48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按钮警铃</w:t>
            </w:r>
          </w:p>
        </w:tc>
        <w:tc>
          <w:tcPr>
            <w:tcW w:w="461" w:type="dxa"/>
            <w:tcMar>
              <w:top w:w="15" w:type="dxa"/>
              <w:left w:w="15" w:type="dxa"/>
              <w:right w:w="15" w:type="dxa"/>
            </w:tcMar>
            <w:vAlign w:val="center"/>
          </w:tcPr>
          <w:p w14:paraId="4E897FBF"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输入模块</w:t>
            </w:r>
          </w:p>
        </w:tc>
        <w:tc>
          <w:tcPr>
            <w:tcW w:w="461" w:type="dxa"/>
            <w:tcMar>
              <w:top w:w="15" w:type="dxa"/>
              <w:left w:w="15" w:type="dxa"/>
              <w:right w:w="15" w:type="dxa"/>
            </w:tcMar>
            <w:vAlign w:val="center"/>
          </w:tcPr>
          <w:p w14:paraId="0BF69EC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控制模块</w:t>
            </w:r>
          </w:p>
        </w:tc>
        <w:tc>
          <w:tcPr>
            <w:tcW w:w="461" w:type="dxa"/>
            <w:tcMar>
              <w:top w:w="15" w:type="dxa"/>
              <w:left w:w="15" w:type="dxa"/>
              <w:right w:w="15" w:type="dxa"/>
            </w:tcMar>
            <w:vAlign w:val="center"/>
          </w:tcPr>
          <w:p w14:paraId="0F35EA59"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喷淋</w:t>
            </w:r>
          </w:p>
        </w:tc>
        <w:tc>
          <w:tcPr>
            <w:tcW w:w="461" w:type="dxa"/>
            <w:tcMar>
              <w:top w:w="15" w:type="dxa"/>
              <w:left w:w="15" w:type="dxa"/>
              <w:right w:w="15" w:type="dxa"/>
            </w:tcMar>
            <w:vAlign w:val="center"/>
          </w:tcPr>
          <w:p w14:paraId="226C18B3"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消火栓</w:t>
            </w:r>
          </w:p>
        </w:tc>
        <w:tc>
          <w:tcPr>
            <w:tcW w:w="461" w:type="dxa"/>
            <w:tcMar>
              <w:top w:w="15" w:type="dxa"/>
              <w:left w:w="15" w:type="dxa"/>
              <w:right w:w="15" w:type="dxa"/>
            </w:tcMar>
            <w:vAlign w:val="center"/>
          </w:tcPr>
          <w:p w14:paraId="27FC3FA1"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地上</w:t>
            </w:r>
            <w:proofErr w:type="gramStart"/>
            <w:r w:rsidRPr="00DE3C57">
              <w:rPr>
                <w:rFonts w:ascii="宋体" w:eastAsia="宋体" w:hAnsi="宋体" w:cs="宋体" w:hint="eastAsia"/>
                <w:kern w:val="0"/>
                <w:szCs w:val="21"/>
                <w:lang w:bidi="ar"/>
              </w:rPr>
              <w:t>栓</w:t>
            </w:r>
            <w:proofErr w:type="gramEnd"/>
          </w:p>
        </w:tc>
        <w:tc>
          <w:tcPr>
            <w:tcW w:w="461" w:type="dxa"/>
            <w:tcMar>
              <w:top w:w="15" w:type="dxa"/>
              <w:left w:w="15" w:type="dxa"/>
              <w:right w:w="15" w:type="dxa"/>
            </w:tcMar>
            <w:vAlign w:val="center"/>
          </w:tcPr>
          <w:p w14:paraId="1321CA99"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灭火器</w:t>
            </w:r>
          </w:p>
        </w:tc>
        <w:tc>
          <w:tcPr>
            <w:tcW w:w="461" w:type="dxa"/>
            <w:tcMar>
              <w:top w:w="15" w:type="dxa"/>
              <w:left w:w="15" w:type="dxa"/>
              <w:right w:w="15" w:type="dxa"/>
            </w:tcMar>
            <w:vAlign w:val="center"/>
          </w:tcPr>
          <w:p w14:paraId="12661186"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水泵接合器</w:t>
            </w:r>
          </w:p>
        </w:tc>
        <w:tc>
          <w:tcPr>
            <w:tcW w:w="461" w:type="dxa"/>
            <w:tcMar>
              <w:top w:w="15" w:type="dxa"/>
              <w:left w:w="15" w:type="dxa"/>
              <w:right w:w="15" w:type="dxa"/>
            </w:tcMar>
            <w:vAlign w:val="center"/>
          </w:tcPr>
          <w:p w14:paraId="70BAEF29"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防毒面具</w:t>
            </w:r>
            <w:bookmarkStart w:id="1" w:name="_GoBack"/>
            <w:bookmarkEnd w:id="1"/>
          </w:p>
        </w:tc>
        <w:tc>
          <w:tcPr>
            <w:tcW w:w="461" w:type="dxa"/>
            <w:tcMar>
              <w:top w:w="15" w:type="dxa"/>
              <w:left w:w="15" w:type="dxa"/>
              <w:right w:w="15" w:type="dxa"/>
            </w:tcMar>
            <w:vAlign w:val="center"/>
          </w:tcPr>
          <w:p w14:paraId="4E75DB8C"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应急灯</w:t>
            </w:r>
          </w:p>
        </w:tc>
        <w:tc>
          <w:tcPr>
            <w:tcW w:w="461" w:type="dxa"/>
            <w:tcMar>
              <w:top w:w="15" w:type="dxa"/>
              <w:left w:w="15" w:type="dxa"/>
              <w:right w:w="15" w:type="dxa"/>
            </w:tcMar>
            <w:vAlign w:val="center"/>
          </w:tcPr>
          <w:p w14:paraId="1A747A2E"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灭火箱</w:t>
            </w:r>
          </w:p>
        </w:tc>
        <w:tc>
          <w:tcPr>
            <w:tcW w:w="1133" w:type="dxa"/>
            <w:tcMar>
              <w:top w:w="15" w:type="dxa"/>
              <w:left w:w="15" w:type="dxa"/>
              <w:right w:w="15" w:type="dxa"/>
            </w:tcMar>
            <w:vAlign w:val="center"/>
          </w:tcPr>
          <w:p w14:paraId="017FF4E8"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灭火球（25公斤）</w:t>
            </w:r>
          </w:p>
        </w:tc>
      </w:tr>
      <w:tr w:rsidR="00DE3C57" w:rsidRPr="00DE3C57" w14:paraId="74482E4F" w14:textId="77777777" w:rsidTr="00615857">
        <w:trPr>
          <w:trHeight w:val="662"/>
        </w:trPr>
        <w:tc>
          <w:tcPr>
            <w:tcW w:w="1530" w:type="dxa"/>
            <w:tcMar>
              <w:top w:w="15" w:type="dxa"/>
              <w:left w:w="15" w:type="dxa"/>
              <w:right w:w="15" w:type="dxa"/>
            </w:tcMar>
            <w:vAlign w:val="center"/>
          </w:tcPr>
          <w:p w14:paraId="364E02EE"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合计</w:t>
            </w:r>
          </w:p>
        </w:tc>
        <w:tc>
          <w:tcPr>
            <w:tcW w:w="445" w:type="dxa"/>
            <w:tcMar>
              <w:top w:w="15" w:type="dxa"/>
              <w:left w:w="15" w:type="dxa"/>
              <w:right w:w="15" w:type="dxa"/>
            </w:tcMar>
            <w:vAlign w:val="center"/>
          </w:tcPr>
          <w:p w14:paraId="69D32708"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16</w:t>
            </w:r>
          </w:p>
        </w:tc>
        <w:tc>
          <w:tcPr>
            <w:tcW w:w="461" w:type="dxa"/>
            <w:tcMar>
              <w:top w:w="15" w:type="dxa"/>
              <w:left w:w="15" w:type="dxa"/>
              <w:right w:w="15" w:type="dxa"/>
            </w:tcMar>
            <w:vAlign w:val="center"/>
          </w:tcPr>
          <w:p w14:paraId="648D59D6"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2138</w:t>
            </w:r>
          </w:p>
        </w:tc>
        <w:tc>
          <w:tcPr>
            <w:tcW w:w="461" w:type="dxa"/>
            <w:tcMar>
              <w:top w:w="15" w:type="dxa"/>
              <w:left w:w="15" w:type="dxa"/>
              <w:right w:w="15" w:type="dxa"/>
            </w:tcMar>
            <w:vAlign w:val="center"/>
          </w:tcPr>
          <w:p w14:paraId="1DBC5138"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986</w:t>
            </w:r>
          </w:p>
        </w:tc>
        <w:tc>
          <w:tcPr>
            <w:tcW w:w="461" w:type="dxa"/>
            <w:tcMar>
              <w:top w:w="15" w:type="dxa"/>
              <w:left w:w="15" w:type="dxa"/>
              <w:right w:w="15" w:type="dxa"/>
            </w:tcMar>
            <w:vAlign w:val="center"/>
          </w:tcPr>
          <w:p w14:paraId="5C84891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181</w:t>
            </w:r>
          </w:p>
        </w:tc>
        <w:tc>
          <w:tcPr>
            <w:tcW w:w="461" w:type="dxa"/>
            <w:tcMar>
              <w:top w:w="15" w:type="dxa"/>
              <w:left w:w="15" w:type="dxa"/>
              <w:right w:w="15" w:type="dxa"/>
            </w:tcMar>
            <w:vAlign w:val="center"/>
          </w:tcPr>
          <w:p w14:paraId="638C1696"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171</w:t>
            </w:r>
          </w:p>
        </w:tc>
        <w:tc>
          <w:tcPr>
            <w:tcW w:w="461" w:type="dxa"/>
            <w:tcMar>
              <w:top w:w="15" w:type="dxa"/>
              <w:left w:w="15" w:type="dxa"/>
              <w:right w:w="15" w:type="dxa"/>
            </w:tcMar>
            <w:vAlign w:val="center"/>
          </w:tcPr>
          <w:p w14:paraId="104B738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106</w:t>
            </w:r>
          </w:p>
        </w:tc>
        <w:tc>
          <w:tcPr>
            <w:tcW w:w="461" w:type="dxa"/>
            <w:tcMar>
              <w:top w:w="15" w:type="dxa"/>
              <w:left w:w="15" w:type="dxa"/>
              <w:right w:w="15" w:type="dxa"/>
            </w:tcMar>
            <w:vAlign w:val="center"/>
          </w:tcPr>
          <w:p w14:paraId="399BBF43"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5617</w:t>
            </w:r>
          </w:p>
        </w:tc>
        <w:tc>
          <w:tcPr>
            <w:tcW w:w="461" w:type="dxa"/>
            <w:tcMar>
              <w:top w:w="15" w:type="dxa"/>
              <w:left w:w="15" w:type="dxa"/>
              <w:right w:w="15" w:type="dxa"/>
            </w:tcMar>
            <w:vAlign w:val="center"/>
          </w:tcPr>
          <w:p w14:paraId="2705302D"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807</w:t>
            </w:r>
          </w:p>
        </w:tc>
        <w:tc>
          <w:tcPr>
            <w:tcW w:w="461" w:type="dxa"/>
            <w:tcMar>
              <w:top w:w="15" w:type="dxa"/>
              <w:left w:w="15" w:type="dxa"/>
              <w:right w:w="15" w:type="dxa"/>
            </w:tcMar>
            <w:vAlign w:val="center"/>
          </w:tcPr>
          <w:p w14:paraId="0D160917"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37</w:t>
            </w:r>
          </w:p>
        </w:tc>
        <w:tc>
          <w:tcPr>
            <w:tcW w:w="461" w:type="dxa"/>
            <w:tcMar>
              <w:top w:w="15" w:type="dxa"/>
              <w:left w:w="15" w:type="dxa"/>
              <w:right w:w="15" w:type="dxa"/>
            </w:tcMar>
            <w:vAlign w:val="center"/>
          </w:tcPr>
          <w:p w14:paraId="2167698F"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1316</w:t>
            </w:r>
          </w:p>
        </w:tc>
        <w:tc>
          <w:tcPr>
            <w:tcW w:w="461" w:type="dxa"/>
            <w:tcMar>
              <w:top w:w="15" w:type="dxa"/>
              <w:left w:w="15" w:type="dxa"/>
              <w:right w:w="15" w:type="dxa"/>
            </w:tcMar>
            <w:vAlign w:val="center"/>
          </w:tcPr>
          <w:p w14:paraId="17496141"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74</w:t>
            </w:r>
          </w:p>
        </w:tc>
        <w:tc>
          <w:tcPr>
            <w:tcW w:w="461" w:type="dxa"/>
            <w:tcMar>
              <w:top w:w="15" w:type="dxa"/>
              <w:left w:w="15" w:type="dxa"/>
              <w:right w:w="15" w:type="dxa"/>
            </w:tcMar>
            <w:vAlign w:val="center"/>
          </w:tcPr>
          <w:p w14:paraId="7524A6F8"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419</w:t>
            </w:r>
          </w:p>
        </w:tc>
        <w:tc>
          <w:tcPr>
            <w:tcW w:w="461" w:type="dxa"/>
            <w:tcMar>
              <w:top w:w="15" w:type="dxa"/>
              <w:left w:w="15" w:type="dxa"/>
              <w:right w:w="15" w:type="dxa"/>
            </w:tcMar>
            <w:vAlign w:val="center"/>
          </w:tcPr>
          <w:p w14:paraId="1A266651"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903</w:t>
            </w:r>
          </w:p>
        </w:tc>
        <w:tc>
          <w:tcPr>
            <w:tcW w:w="461" w:type="dxa"/>
            <w:tcMar>
              <w:top w:w="15" w:type="dxa"/>
              <w:left w:w="15" w:type="dxa"/>
              <w:right w:w="15" w:type="dxa"/>
            </w:tcMar>
            <w:vAlign w:val="center"/>
          </w:tcPr>
          <w:p w14:paraId="4E2FEC65" w14:textId="77777777" w:rsidR="00DE3C57" w:rsidRPr="00DE3C57" w:rsidRDefault="00DE3C57" w:rsidP="00DE3C57">
            <w:pPr>
              <w:widowControl/>
              <w:jc w:val="center"/>
              <w:textAlignment w:val="center"/>
              <w:rPr>
                <w:rFonts w:ascii="宋体" w:eastAsia="宋体" w:hAnsi="宋体" w:cs="宋体"/>
                <w:szCs w:val="21"/>
              </w:rPr>
            </w:pPr>
            <w:r w:rsidRPr="00DE3C57">
              <w:rPr>
                <w:rFonts w:ascii="宋体" w:eastAsia="宋体" w:hAnsi="宋体" w:cs="宋体" w:hint="eastAsia"/>
                <w:kern w:val="0"/>
                <w:szCs w:val="21"/>
                <w:lang w:bidi="ar"/>
              </w:rPr>
              <w:t>583</w:t>
            </w:r>
          </w:p>
        </w:tc>
        <w:tc>
          <w:tcPr>
            <w:tcW w:w="1133" w:type="dxa"/>
            <w:tcMar>
              <w:top w:w="15" w:type="dxa"/>
              <w:left w:w="15" w:type="dxa"/>
              <w:right w:w="15" w:type="dxa"/>
            </w:tcMar>
            <w:vAlign w:val="center"/>
          </w:tcPr>
          <w:p w14:paraId="1F8CB6A9" w14:textId="77777777" w:rsidR="00DE3C57" w:rsidRPr="00DE3C57" w:rsidRDefault="00DE3C57" w:rsidP="00DE3C57">
            <w:pPr>
              <w:jc w:val="center"/>
              <w:rPr>
                <w:rFonts w:ascii="宋体" w:eastAsia="宋体" w:hAnsi="宋体" w:cs="宋体"/>
                <w:szCs w:val="21"/>
              </w:rPr>
            </w:pPr>
            <w:r w:rsidRPr="00DE3C57">
              <w:rPr>
                <w:rFonts w:ascii="宋体" w:eastAsia="宋体" w:hAnsi="宋体" w:cs="宋体" w:hint="eastAsia"/>
                <w:szCs w:val="21"/>
              </w:rPr>
              <w:t>43</w:t>
            </w:r>
          </w:p>
        </w:tc>
      </w:tr>
    </w:tbl>
    <w:p w14:paraId="10258064" w14:textId="77777777" w:rsidR="00DE3C57" w:rsidRPr="00DE3C57" w:rsidRDefault="00DE3C57" w:rsidP="00DE3C57">
      <w:pPr>
        <w:widowControl/>
        <w:spacing w:line="360" w:lineRule="auto"/>
        <w:jc w:val="left"/>
        <w:textAlignment w:val="center"/>
        <w:rPr>
          <w:rFonts w:ascii="宋体" w:eastAsia="宋体" w:hAnsi="宋体" w:cs="宋体"/>
          <w:kern w:val="0"/>
          <w:szCs w:val="21"/>
          <w:lang w:bidi="ar"/>
        </w:rPr>
      </w:pPr>
      <w:r w:rsidRPr="00DE3C57">
        <w:rPr>
          <w:rFonts w:ascii="宋体" w:eastAsia="宋体" w:hAnsi="宋体" w:cs="宋体" w:hint="eastAsia"/>
          <w:kern w:val="0"/>
          <w:szCs w:val="21"/>
          <w:lang w:bidi="ar"/>
        </w:rPr>
        <w:t>备注:由于采购方单位性质特殊，不能书面提供具体消防设备位置信息，以上信息室汇总数据，仅供参考，以现场实际使用设备为准。</w:t>
      </w:r>
    </w:p>
    <w:p w14:paraId="09BB4131" w14:textId="77777777" w:rsidR="00DE3C57" w:rsidRPr="00DE3C57" w:rsidRDefault="00DE3C57" w:rsidP="00DE3C57">
      <w:pPr>
        <w:rPr>
          <w:rFonts w:ascii="新宋体" w:eastAsia="新宋体" w:hAnsi="新宋体" w:cs="宋体"/>
          <w:b/>
          <w:szCs w:val="21"/>
        </w:rPr>
      </w:pPr>
      <w:bookmarkStart w:id="2" w:name="_Toc16711655"/>
    </w:p>
    <w:p w14:paraId="6FC0A580" w14:textId="77777777" w:rsidR="00DE3C57" w:rsidRPr="00DE3C57" w:rsidRDefault="00DE3C57" w:rsidP="00DE3C57">
      <w:pPr>
        <w:spacing w:line="360" w:lineRule="auto"/>
        <w:rPr>
          <w:rFonts w:ascii="新宋体" w:eastAsia="新宋体" w:hAnsi="新宋体" w:cs="宋体"/>
          <w:b/>
          <w:szCs w:val="21"/>
        </w:rPr>
      </w:pPr>
      <w:r w:rsidRPr="00DE3C57">
        <w:rPr>
          <w:rFonts w:ascii="新宋体" w:eastAsia="新宋体" w:hAnsi="新宋体" w:cs="宋体" w:hint="eastAsia"/>
          <w:b/>
          <w:szCs w:val="21"/>
        </w:rPr>
        <w:t>（三）建筑消防设施检测区域面积</w:t>
      </w:r>
      <w:bookmarkEnd w:id="2"/>
      <w:r w:rsidRPr="00DE3C57">
        <w:rPr>
          <w:rFonts w:ascii="新宋体" w:eastAsia="新宋体" w:hAnsi="新宋体" w:cs="宋体" w:hint="eastAsia"/>
          <w:b/>
          <w:szCs w:val="21"/>
        </w:rPr>
        <w:t>情况。</w:t>
      </w:r>
    </w:p>
    <w:p w14:paraId="4C9A2240" w14:textId="77777777" w:rsidR="00DE3C57" w:rsidRPr="00DE3C57" w:rsidRDefault="00DE3C57" w:rsidP="00DE3C57">
      <w:pPr>
        <w:spacing w:line="360" w:lineRule="auto"/>
        <w:ind w:firstLineChars="200" w:firstLine="422"/>
        <w:rPr>
          <w:rFonts w:ascii="新宋体" w:eastAsia="新宋体" w:hAnsi="新宋体" w:cs="Times New Roman"/>
          <w:b/>
          <w:szCs w:val="24"/>
        </w:rPr>
      </w:pPr>
      <w:r w:rsidRPr="00DE3C57">
        <w:rPr>
          <w:rFonts w:ascii="新宋体" w:eastAsia="新宋体" w:hAnsi="新宋体" w:cs="Times New Roman" w:hint="eastAsia"/>
          <w:b/>
          <w:szCs w:val="24"/>
        </w:rPr>
        <w:t>采</w:t>
      </w:r>
      <w:r w:rsidRPr="00DE3C57">
        <w:rPr>
          <w:rFonts w:ascii="宋体" w:eastAsia="宋体" w:hAnsi="宋体" w:cs="宋体" w:hint="eastAsia"/>
          <w:kern w:val="0"/>
          <w:szCs w:val="21"/>
          <w:lang w:bidi="ar"/>
        </w:rPr>
        <w:t>购方所属建筑有42栋，建筑约174816平方米，以现场实际面积为准，包括办公区、生活区、监管区等，最高一栋建筑为11层，其余均在10层以下。</w:t>
      </w:r>
    </w:p>
    <w:p w14:paraId="5020C9BD" w14:textId="77777777" w:rsidR="00DE3C57" w:rsidRPr="00DE3C57" w:rsidRDefault="00DE3C57" w:rsidP="00DE3C57">
      <w:pPr>
        <w:keepNext/>
        <w:keepLines/>
        <w:spacing w:before="260" w:after="260"/>
        <w:outlineLvl w:val="2"/>
        <w:rPr>
          <w:rFonts w:ascii="新宋体" w:eastAsia="新宋体" w:hAnsi="新宋体" w:cs="Times New Roman"/>
          <w:b/>
          <w:bCs/>
          <w:kern w:val="44"/>
          <w:sz w:val="28"/>
          <w:szCs w:val="28"/>
        </w:rPr>
      </w:pPr>
      <w:r w:rsidRPr="00DE3C57">
        <w:rPr>
          <w:rFonts w:ascii="新宋体" w:eastAsia="新宋体" w:hAnsi="新宋体" w:cs="Times New Roman" w:hint="eastAsia"/>
          <w:b/>
          <w:bCs/>
          <w:kern w:val="44"/>
          <w:sz w:val="28"/>
          <w:szCs w:val="28"/>
        </w:rPr>
        <w:t>五、项目商务要求</w:t>
      </w:r>
    </w:p>
    <w:p w14:paraId="14E8455C"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一）服务（工期）期限：本项目控制合同工期为30个日历日（如遇不可抗拒或因配合采购人经营造成的工期延误，投标人需报经采购人签字确认后可顺延合同工期。否则，每延期一天采购人将按照合同金额1％的标准扣罚相应违约金）。</w:t>
      </w:r>
    </w:p>
    <w:p w14:paraId="2DB98AE7"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 xml:space="preserve">    本项目为长期项目，采购方可根据中标方的履约情况，按年进行续约，最多可续签两次。</w:t>
      </w:r>
    </w:p>
    <w:p w14:paraId="42128766"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（二）付款方式：完成检测，</w:t>
      </w:r>
      <w:proofErr w:type="gramStart"/>
      <w:r w:rsidRPr="00DE3C57">
        <w:rPr>
          <w:rFonts w:ascii="新宋体" w:eastAsia="新宋体" w:hAnsi="新宋体" w:cs="宋体" w:hint="eastAsia"/>
          <w:szCs w:val="21"/>
        </w:rPr>
        <w:t>出具杈威检测</w:t>
      </w:r>
      <w:proofErr w:type="gramEnd"/>
      <w:r w:rsidRPr="00DE3C57">
        <w:rPr>
          <w:rFonts w:ascii="新宋体" w:eastAsia="新宋体" w:hAnsi="新宋体" w:cs="宋体" w:hint="eastAsia"/>
          <w:szCs w:val="21"/>
        </w:rPr>
        <w:t>报告（有法律效力）并提交相关部门备案后，一次性支付全部合同款。</w:t>
      </w:r>
    </w:p>
    <w:p w14:paraId="5BE138D5"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（三）质量考核验收标准及违约金</w:t>
      </w:r>
    </w:p>
    <w:p w14:paraId="6A4E28FB"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1.质量考核验收标准：以合同签订为准</w:t>
      </w:r>
    </w:p>
    <w:p w14:paraId="53870AB6"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2.违约金：以合同签订为准</w:t>
      </w:r>
    </w:p>
    <w:p w14:paraId="7EB2C6AC"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（四）现场踏勘</w:t>
      </w:r>
    </w:p>
    <w:p w14:paraId="2B7CBD88"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投标人应在投标前参加由招标人组织的现场查看工作。招标人定于2025年4月14日10: 30邀请投标人人员踏勘现场并讲解需求。投标人踏勘现场须在2025年4月14日10: 30前提</w:t>
      </w:r>
      <w:proofErr w:type="gramStart"/>
      <w:r w:rsidRPr="00DE3C57">
        <w:rPr>
          <w:rFonts w:ascii="新宋体" w:eastAsia="新宋体" w:hAnsi="新宋体" w:cs="宋体" w:hint="eastAsia"/>
          <w:szCs w:val="21"/>
        </w:rPr>
        <w:t>前联系</w:t>
      </w:r>
      <w:proofErr w:type="gramEnd"/>
      <w:r w:rsidRPr="00DE3C57">
        <w:rPr>
          <w:rFonts w:ascii="新宋体" w:eastAsia="新宋体" w:hAnsi="新宋体" w:cs="宋体" w:hint="eastAsia"/>
          <w:szCs w:val="21"/>
        </w:rPr>
        <w:t>踏勘联系人。招标人联系人：杨先生18138810727</w:t>
      </w:r>
    </w:p>
    <w:p w14:paraId="6B7FC66C" w14:textId="77777777" w:rsidR="00DE3C57" w:rsidRPr="00DE3C57" w:rsidRDefault="00DE3C57" w:rsidP="00DE3C57">
      <w:pPr>
        <w:spacing w:line="360" w:lineRule="auto"/>
        <w:rPr>
          <w:rFonts w:ascii="新宋体" w:eastAsia="新宋体" w:hAnsi="新宋体" w:cs="宋体"/>
          <w:szCs w:val="21"/>
        </w:rPr>
      </w:pPr>
    </w:p>
    <w:p w14:paraId="1FEC0A08" w14:textId="77777777" w:rsidR="00DE3C57" w:rsidRPr="00DE3C57" w:rsidRDefault="00DE3C57" w:rsidP="00DE3C57">
      <w:pPr>
        <w:keepNext/>
        <w:keepLines/>
        <w:spacing w:before="260" w:after="260"/>
        <w:outlineLvl w:val="2"/>
        <w:rPr>
          <w:rFonts w:ascii="新宋体" w:eastAsia="新宋体" w:hAnsi="新宋体" w:cs="Times New Roman"/>
          <w:b/>
          <w:bCs/>
          <w:kern w:val="44"/>
          <w:sz w:val="28"/>
          <w:szCs w:val="28"/>
        </w:rPr>
      </w:pPr>
      <w:r w:rsidRPr="00DE3C57">
        <w:rPr>
          <w:rFonts w:ascii="新宋体" w:eastAsia="新宋体" w:hAnsi="新宋体" w:cs="Times New Roman" w:hint="eastAsia"/>
          <w:b/>
          <w:bCs/>
          <w:kern w:val="44"/>
          <w:sz w:val="28"/>
          <w:szCs w:val="28"/>
        </w:rPr>
        <w:lastRenderedPageBreak/>
        <w:t>六、投标报价</w:t>
      </w:r>
    </w:p>
    <w:p w14:paraId="3D49A4DB"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DE3C57">
        <w:rPr>
          <w:rFonts w:ascii="新宋体" w:eastAsia="新宋体" w:hAnsi="新宋体" w:cs="宋体" w:hint="eastAsia"/>
          <w:szCs w:val="21"/>
        </w:rPr>
        <w:t>签定</w:t>
      </w:r>
      <w:proofErr w:type="gramEnd"/>
      <w:r w:rsidRPr="00DE3C57">
        <w:rPr>
          <w:rFonts w:ascii="新宋体" w:eastAsia="新宋体" w:hAnsi="新宋体" w:cs="宋体" w:hint="eastAsia"/>
          <w:szCs w:val="21"/>
        </w:rPr>
        <w:t>的合同金额，合同期限内不做调整。</w:t>
      </w:r>
    </w:p>
    <w:p w14:paraId="4D463821"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9E42A46"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1368290"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DE3C57">
        <w:rPr>
          <w:rFonts w:ascii="新宋体" w:eastAsia="新宋体" w:hAnsi="新宋体" w:cs="宋体" w:hint="eastAsia"/>
          <w:szCs w:val="21"/>
        </w:rPr>
        <w:t>中项目</w:t>
      </w:r>
      <w:proofErr w:type="gramEnd"/>
      <w:r w:rsidRPr="00DE3C57">
        <w:rPr>
          <w:rFonts w:ascii="新宋体" w:eastAsia="新宋体" w:hAnsi="新宋体" w:cs="宋体" w:hint="eastAsia"/>
          <w:szCs w:val="21"/>
        </w:rPr>
        <w:t>和数量填报综合单价或总价。投标人未</w:t>
      </w:r>
      <w:proofErr w:type="gramStart"/>
      <w:r w:rsidRPr="00DE3C57">
        <w:rPr>
          <w:rFonts w:ascii="新宋体" w:eastAsia="新宋体" w:hAnsi="新宋体" w:cs="宋体" w:hint="eastAsia"/>
          <w:szCs w:val="21"/>
        </w:rPr>
        <w:t>填综合</w:t>
      </w:r>
      <w:proofErr w:type="gramEnd"/>
      <w:r w:rsidRPr="00DE3C57">
        <w:rPr>
          <w:rFonts w:ascii="新宋体" w:eastAsia="新宋体" w:hAnsi="新宋体" w:cs="宋体" w:hint="eastAsia"/>
          <w:szCs w:val="21"/>
        </w:rPr>
        <w:t>单价或总价的项目，在实施后，将不得以支付，并视作该项费用已包括在其它有价款的综合单价或总价内。</w:t>
      </w:r>
    </w:p>
    <w:p w14:paraId="033BC4EE"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26FE802E" w14:textId="77777777" w:rsidR="00DE3C57" w:rsidRPr="00DE3C57" w:rsidRDefault="00DE3C57" w:rsidP="00DE3C57">
      <w:pPr>
        <w:spacing w:line="360" w:lineRule="auto"/>
        <w:rPr>
          <w:rFonts w:ascii="新宋体" w:eastAsia="新宋体" w:hAnsi="新宋体" w:cs="宋体"/>
          <w:szCs w:val="21"/>
        </w:rPr>
      </w:pPr>
      <w:r w:rsidRPr="00DE3C57">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DE3C57" w:rsidRDefault="00F516D7"/>
    <w:sectPr w:rsidR="00F516D7" w:rsidRPr="00DE3C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9E04C9" w14:textId="77777777" w:rsidR="00DE3C57" w:rsidRDefault="00DE3C57" w:rsidP="00DE3C57">
      <w:r>
        <w:separator/>
      </w:r>
    </w:p>
  </w:endnote>
  <w:endnote w:type="continuationSeparator" w:id="0">
    <w:p w14:paraId="58AF1B74" w14:textId="77777777" w:rsidR="00DE3C57" w:rsidRDefault="00DE3C57" w:rsidP="00DE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B872E" w14:textId="77777777" w:rsidR="00DE3C57" w:rsidRDefault="00DE3C57" w:rsidP="00DE3C57">
      <w:r>
        <w:separator/>
      </w:r>
    </w:p>
  </w:footnote>
  <w:footnote w:type="continuationSeparator" w:id="0">
    <w:p w14:paraId="478779AD" w14:textId="77777777" w:rsidR="00DE3C57" w:rsidRDefault="00DE3C57" w:rsidP="00DE3C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DE3C5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3C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3C57"/>
    <w:rPr>
      <w:sz w:val="18"/>
      <w:szCs w:val="18"/>
    </w:rPr>
  </w:style>
  <w:style w:type="paragraph" w:styleId="a4">
    <w:name w:val="footer"/>
    <w:basedOn w:val="a"/>
    <w:link w:val="Char0"/>
    <w:uiPriority w:val="99"/>
    <w:unhideWhenUsed/>
    <w:rsid w:val="00DE3C57"/>
    <w:pPr>
      <w:tabs>
        <w:tab w:val="center" w:pos="4153"/>
        <w:tab w:val="right" w:pos="8306"/>
      </w:tabs>
      <w:snapToGrid w:val="0"/>
      <w:jc w:val="left"/>
    </w:pPr>
    <w:rPr>
      <w:sz w:val="18"/>
      <w:szCs w:val="18"/>
    </w:rPr>
  </w:style>
  <w:style w:type="character" w:customStyle="1" w:styleId="Char0">
    <w:name w:val="页脚 Char"/>
    <w:basedOn w:val="a0"/>
    <w:link w:val="a4"/>
    <w:uiPriority w:val="99"/>
    <w:rsid w:val="00DE3C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3C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3C57"/>
    <w:rPr>
      <w:sz w:val="18"/>
      <w:szCs w:val="18"/>
    </w:rPr>
  </w:style>
  <w:style w:type="paragraph" w:styleId="a4">
    <w:name w:val="footer"/>
    <w:basedOn w:val="a"/>
    <w:link w:val="Char0"/>
    <w:uiPriority w:val="99"/>
    <w:unhideWhenUsed/>
    <w:rsid w:val="00DE3C57"/>
    <w:pPr>
      <w:tabs>
        <w:tab w:val="center" w:pos="4153"/>
        <w:tab w:val="right" w:pos="8306"/>
      </w:tabs>
      <w:snapToGrid w:val="0"/>
      <w:jc w:val="left"/>
    </w:pPr>
    <w:rPr>
      <w:sz w:val="18"/>
      <w:szCs w:val="18"/>
    </w:rPr>
  </w:style>
  <w:style w:type="character" w:customStyle="1" w:styleId="Char0">
    <w:name w:val="页脚 Char"/>
    <w:basedOn w:val="a0"/>
    <w:link w:val="a4"/>
    <w:uiPriority w:val="99"/>
    <w:rsid w:val="00DE3C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2367</Characters>
  <Application>Microsoft Office Word</Application>
  <DocSecurity>0</DocSecurity>
  <Lines>19</Lines>
  <Paragraphs>5</Paragraphs>
  <ScaleCrop>false</ScaleCrop>
  <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2025-04-03T08:50:00Z</dcterms:modified>
</cp:coreProperties>
</file>