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5FB2E6">
      <w:pPr>
        <w:pStyle w:val="3"/>
        <w:rPr>
          <w:rFonts w:ascii="新宋体" w:hAnsi="新宋体" w:eastAsia="新宋体"/>
          <w:kern w:val="44"/>
          <w:szCs w:val="28"/>
        </w:rPr>
      </w:pPr>
      <w:r>
        <w:rPr>
          <w:rFonts w:hint="eastAsia" w:ascii="新宋体" w:hAnsi="新宋体" w:eastAsia="新宋体"/>
          <w:kern w:val="44"/>
          <w:szCs w:val="28"/>
        </w:rPr>
        <w:t>三、项目概况</w:t>
      </w:r>
    </w:p>
    <w:p w14:paraId="105F0237">
      <w:pPr>
        <w:spacing w:line="360" w:lineRule="auto"/>
        <w:rPr>
          <w:rFonts w:ascii="新宋体" w:hAnsi="新宋体" w:eastAsia="新宋体" w:cs="宋体"/>
          <w:szCs w:val="21"/>
        </w:rPr>
      </w:pPr>
      <w:r>
        <w:rPr>
          <w:rFonts w:hint="eastAsia" w:ascii="新宋体" w:hAnsi="新宋体" w:eastAsia="新宋体" w:cs="宋体"/>
          <w:szCs w:val="21"/>
        </w:rPr>
        <w:t>（一）</w:t>
      </w:r>
      <w:r>
        <w:rPr>
          <w:rFonts w:ascii="新宋体" w:hAnsi="新宋体" w:eastAsia="新宋体" w:cs="宋体"/>
          <w:szCs w:val="21"/>
        </w:rPr>
        <w:t>预算</w:t>
      </w:r>
      <w:r>
        <w:rPr>
          <w:rFonts w:hint="eastAsia" w:ascii="新宋体" w:hAnsi="新宋体" w:eastAsia="新宋体" w:cs="宋体"/>
          <w:szCs w:val="21"/>
        </w:rPr>
        <w:t>金额: 人民币壹拾玖万捌仟元（198,000.00），</w:t>
      </w:r>
      <w:r>
        <w:rPr>
          <w:rFonts w:ascii="新宋体" w:hAnsi="新宋体" w:eastAsia="新宋体" w:cs="宋体"/>
          <w:szCs w:val="21"/>
        </w:rPr>
        <w:t>最高投标限价</w:t>
      </w:r>
      <w:r>
        <w:rPr>
          <w:rFonts w:hint="eastAsia" w:ascii="新宋体" w:hAnsi="新宋体" w:eastAsia="新宋体" w:cs="宋体"/>
          <w:szCs w:val="21"/>
        </w:rPr>
        <w:t>: 人民币壹拾玖万捌仟元（198,000.00）。</w:t>
      </w:r>
    </w:p>
    <w:p w14:paraId="27E4B799">
      <w:pPr>
        <w:spacing w:line="360" w:lineRule="auto"/>
        <w:rPr>
          <w:rFonts w:ascii="新宋体" w:hAnsi="新宋体" w:eastAsia="新宋体" w:cs="宋体"/>
          <w:szCs w:val="21"/>
        </w:rPr>
      </w:pPr>
      <w:r>
        <w:rPr>
          <w:rFonts w:hint="eastAsia" w:ascii="新宋体" w:hAnsi="新宋体" w:eastAsia="新宋体" w:cs="宋体"/>
          <w:szCs w:val="21"/>
        </w:rPr>
        <w:t xml:space="preserve">（二）项目概况: </w:t>
      </w:r>
    </w:p>
    <w:p w14:paraId="0C64243A">
      <w:pPr>
        <w:spacing w:line="360" w:lineRule="auto"/>
        <w:ind w:firstLine="420" w:firstLineChars="200"/>
        <w:rPr>
          <w:rFonts w:ascii="新宋体" w:hAnsi="新宋体" w:eastAsia="新宋体" w:cs="宋体"/>
          <w:szCs w:val="21"/>
        </w:rPr>
      </w:pPr>
      <w:r>
        <w:rPr>
          <w:rFonts w:hint="eastAsia" w:ascii="新宋体" w:hAnsi="新宋体" w:eastAsia="新宋体" w:cs="宋体"/>
          <w:szCs w:val="21"/>
        </w:rPr>
        <w:t>通过系统梳理深圳2024年在立法、法治政府建设、司法、法治社会、涉外法治建设领域的工作情况，客观展示我市法治建设的状况和成效，编制法治建设白皮书。</w:t>
      </w:r>
    </w:p>
    <w:p w14:paraId="78CE8F05">
      <w:pPr>
        <w:spacing w:line="360" w:lineRule="auto"/>
        <w:rPr>
          <w:rFonts w:ascii="新宋体" w:hAnsi="新宋体" w:eastAsia="新宋体" w:cs="宋体"/>
          <w:szCs w:val="21"/>
        </w:rPr>
      </w:pPr>
    </w:p>
    <w:p w14:paraId="2751BDBC">
      <w:pPr>
        <w:pStyle w:val="3"/>
        <w:rPr>
          <w:rFonts w:ascii="新宋体" w:hAnsi="新宋体" w:eastAsia="新宋体"/>
          <w:kern w:val="44"/>
          <w:szCs w:val="28"/>
        </w:rPr>
      </w:pPr>
      <w:r>
        <w:rPr>
          <w:rFonts w:hint="eastAsia" w:ascii="新宋体" w:hAnsi="新宋体" w:eastAsia="新宋体"/>
          <w:kern w:val="44"/>
          <w:szCs w:val="28"/>
        </w:rPr>
        <w:t>四、项目技术要求</w:t>
      </w:r>
    </w:p>
    <w:p w14:paraId="05E8A626">
      <w:pPr>
        <w:spacing w:line="360" w:lineRule="auto"/>
        <w:rPr>
          <w:rFonts w:ascii="新宋体" w:hAnsi="新宋体" w:eastAsia="新宋体"/>
          <w:bCs/>
        </w:rPr>
      </w:pPr>
      <w:r>
        <w:rPr>
          <w:rFonts w:hint="eastAsia" w:ascii="新宋体" w:hAnsi="新宋体" w:eastAsia="新宋体"/>
          <w:bCs/>
        </w:rPr>
        <w:t>1</w:t>
      </w:r>
      <w:r>
        <w:rPr>
          <w:rFonts w:ascii="新宋体" w:hAnsi="新宋体" w:eastAsia="新宋体"/>
          <w:bCs/>
        </w:rPr>
        <w:t>.</w:t>
      </w:r>
      <w:r>
        <w:rPr>
          <w:rFonts w:hint="eastAsia" w:ascii="新宋体" w:hAnsi="新宋体" w:eastAsia="新宋体"/>
          <w:bCs/>
        </w:rPr>
        <w:t>成立深圳市法治建设年度报告（2024）编撰服务项目小组，团队成员中，需至少1人专职负责本项目相关工作（无需驻点），主要职责包括：随时配合甲方开展本项目相关的资料收集、分析、汇总及报告撰写工作，视情况参与深圳市内及市外调研考察工作。</w:t>
      </w:r>
    </w:p>
    <w:p w14:paraId="493AB2E8">
      <w:pPr>
        <w:spacing w:line="360" w:lineRule="auto"/>
        <w:rPr>
          <w:rFonts w:ascii="新宋体" w:hAnsi="新宋体" w:eastAsia="新宋体"/>
          <w:bCs/>
        </w:rPr>
      </w:pPr>
      <w:r>
        <w:rPr>
          <w:rFonts w:hint="eastAsia" w:ascii="新宋体" w:hAnsi="新宋体" w:eastAsia="新宋体"/>
          <w:bCs/>
        </w:rPr>
        <w:t>2.围绕立法、法治政府建设、司法、法治社会、涉外法治建设领域的工作情况编撰白皮书，包括整理制度汇编，规范性文件目录，撰写15-20篇法治建设典型案例，梳理汇总市直有关单位、各区法治建设报告，对口联系80家市直单位及11个区，按月度编写2024年度法治建设大事记。</w:t>
      </w:r>
    </w:p>
    <w:p w14:paraId="6BEE4379">
      <w:pPr>
        <w:spacing w:line="360" w:lineRule="auto"/>
        <w:rPr>
          <w:rFonts w:ascii="新宋体" w:hAnsi="新宋体" w:eastAsia="新宋体"/>
          <w:bCs/>
        </w:rPr>
      </w:pPr>
      <w:r>
        <w:rPr>
          <w:rFonts w:hint="eastAsia" w:ascii="新宋体" w:hAnsi="新宋体" w:eastAsia="新宋体"/>
          <w:bCs/>
        </w:rPr>
        <w:t>3.对整本书刊进行策划、定位，包括体例和风格统一标准，编制形成深圳市法治建设年度报告（白皮书），对全书所有内页进行文字编排，设计封面、封底、扉页等，安排人员对每页内容进行校对，交印刷厂印刷150本，《深圳市法治建设年度报告（2024）》版权归采购人所有。</w:t>
      </w:r>
    </w:p>
    <w:p w14:paraId="2E9F66F4">
      <w:pPr>
        <w:spacing w:line="360" w:lineRule="auto"/>
        <w:rPr>
          <w:rFonts w:ascii="新宋体" w:hAnsi="新宋体" w:eastAsia="新宋体"/>
          <w:bCs/>
        </w:rPr>
      </w:pPr>
      <w:r>
        <w:rPr>
          <w:rFonts w:hint="eastAsia" w:ascii="新宋体" w:hAnsi="新宋体" w:eastAsia="新宋体"/>
          <w:bCs/>
        </w:rPr>
        <w:t>4.有针对性地制定《深圳市法治建设年度报告（2024）》项目实施方案，内容包括但不限于：（1）工作目标；（2）工作内容；（3）人员投入计划；（4）实施步骤及要点；（5）时间进度安排。</w:t>
      </w:r>
    </w:p>
    <w:p w14:paraId="343D6AFE">
      <w:pPr>
        <w:rPr>
          <w:rFonts w:ascii="新宋体" w:hAnsi="新宋体" w:eastAsia="新宋体"/>
          <w:b/>
        </w:rPr>
      </w:pPr>
    </w:p>
    <w:p w14:paraId="333E6FA3">
      <w:pPr>
        <w:pStyle w:val="3"/>
        <w:rPr>
          <w:rFonts w:ascii="新宋体" w:hAnsi="新宋体" w:eastAsia="新宋体"/>
          <w:kern w:val="44"/>
          <w:szCs w:val="28"/>
        </w:rPr>
      </w:pPr>
      <w:r>
        <w:rPr>
          <w:rFonts w:hint="eastAsia" w:ascii="新宋体" w:hAnsi="新宋体" w:eastAsia="新宋体"/>
          <w:kern w:val="44"/>
          <w:szCs w:val="28"/>
        </w:rPr>
        <w:t>五、项目商务要求</w:t>
      </w:r>
    </w:p>
    <w:p w14:paraId="7D4D8020">
      <w:pPr>
        <w:spacing w:line="360" w:lineRule="auto"/>
        <w:rPr>
          <w:rFonts w:ascii="新宋体" w:hAnsi="新宋体" w:eastAsia="新宋体" w:cs="宋体"/>
          <w:b/>
          <w:bCs/>
          <w:szCs w:val="21"/>
        </w:rPr>
      </w:pPr>
      <w:r>
        <w:rPr>
          <w:rFonts w:hint="eastAsia" w:ascii="新宋体" w:hAnsi="新宋体" w:eastAsia="新宋体" w:cs="宋体"/>
          <w:b/>
          <w:bCs/>
          <w:szCs w:val="21"/>
        </w:rPr>
        <w:t>（一）服务期限</w:t>
      </w:r>
    </w:p>
    <w:p w14:paraId="21394982">
      <w:pPr>
        <w:spacing w:line="360" w:lineRule="auto"/>
        <w:rPr>
          <w:rFonts w:ascii="新宋体" w:hAnsi="新宋体" w:eastAsia="新宋体" w:cs="宋体"/>
          <w:szCs w:val="21"/>
        </w:rPr>
      </w:pPr>
      <w:r>
        <w:rPr>
          <w:rFonts w:hint="eastAsia" w:ascii="新宋体" w:hAnsi="新宋体" w:eastAsia="新宋体" w:cs="宋体"/>
          <w:szCs w:val="21"/>
        </w:rPr>
        <w:t>自合同签订之日起至2025年12月31日（该项目为长期服务项目，合同期限可以延长，但最长不超过3年)。</w:t>
      </w:r>
    </w:p>
    <w:p w14:paraId="2DC5B9B3">
      <w:pPr>
        <w:spacing w:line="360" w:lineRule="auto"/>
        <w:rPr>
          <w:rFonts w:ascii="新宋体" w:hAnsi="新宋体" w:eastAsia="新宋体" w:cs="宋体"/>
          <w:b/>
          <w:bCs/>
          <w:szCs w:val="21"/>
        </w:rPr>
      </w:pPr>
      <w:r>
        <w:rPr>
          <w:rFonts w:hint="eastAsia" w:ascii="新宋体" w:hAnsi="新宋体" w:eastAsia="新宋体" w:cs="宋体"/>
          <w:b/>
          <w:bCs/>
          <w:szCs w:val="21"/>
        </w:rPr>
        <w:t>（二）付款方式</w:t>
      </w:r>
    </w:p>
    <w:p w14:paraId="1571C7B8">
      <w:pPr>
        <w:spacing w:line="360" w:lineRule="auto"/>
        <w:rPr>
          <w:rFonts w:ascii="新宋体" w:hAnsi="新宋体" w:eastAsia="新宋体" w:cs="宋体"/>
          <w:szCs w:val="21"/>
        </w:rPr>
      </w:pPr>
      <w:r>
        <w:rPr>
          <w:rFonts w:hint="eastAsia" w:ascii="新宋体" w:hAnsi="新宋体" w:eastAsia="新宋体" w:cs="宋体"/>
          <w:szCs w:val="21"/>
        </w:rPr>
        <w:t>以合同签订为准</w:t>
      </w:r>
    </w:p>
    <w:p w14:paraId="4907A074">
      <w:pPr>
        <w:spacing w:line="360" w:lineRule="auto"/>
        <w:rPr>
          <w:rFonts w:ascii="新宋体" w:hAnsi="新宋体" w:eastAsia="新宋体" w:cs="宋体"/>
          <w:b/>
          <w:bCs/>
          <w:szCs w:val="21"/>
        </w:rPr>
      </w:pPr>
      <w:r>
        <w:rPr>
          <w:rFonts w:hint="eastAsia" w:ascii="新宋体" w:hAnsi="新宋体" w:eastAsia="新宋体" w:cs="宋体"/>
          <w:b/>
          <w:bCs/>
          <w:szCs w:val="21"/>
        </w:rPr>
        <w:t>（三）质量考核验收标准及违约金</w:t>
      </w:r>
    </w:p>
    <w:p w14:paraId="44A36E56">
      <w:pPr>
        <w:spacing w:line="360" w:lineRule="auto"/>
        <w:rPr>
          <w:rFonts w:hint="eastAsia" w:ascii="新宋体" w:hAnsi="新宋体" w:eastAsia="新宋体" w:cs="宋体"/>
          <w:szCs w:val="21"/>
          <w:lang w:val="en-US" w:eastAsia="zh-CN"/>
        </w:rPr>
      </w:pPr>
      <w:r>
        <w:rPr>
          <w:rFonts w:hint="eastAsia" w:ascii="新宋体" w:hAnsi="新宋体" w:eastAsia="新宋体" w:cs="宋体"/>
          <w:szCs w:val="21"/>
        </w:rPr>
        <w:t>1.质量考核验收标准：形成《深圳市法治建设年度报告（2024）》。</w:t>
      </w:r>
    </w:p>
    <w:p w14:paraId="4CCCBE2C">
      <w:pPr>
        <w:spacing w:line="360" w:lineRule="auto"/>
        <w:rPr>
          <w:rFonts w:ascii="新宋体" w:hAnsi="新宋体" w:eastAsia="新宋体" w:cs="宋体"/>
          <w:szCs w:val="21"/>
        </w:rPr>
      </w:pPr>
      <w:r>
        <w:rPr>
          <w:rFonts w:hint="eastAsia" w:ascii="新宋体" w:hAnsi="新宋体" w:eastAsia="新宋体" w:cs="宋体"/>
          <w:szCs w:val="21"/>
        </w:rPr>
        <w:t>2.违约金：在合同履行过程中，双方因违约或者重大过失造成对方经济损失的应当赔偿。如乙方未在约定时间内按要求完成合同义务逾期超过十五个工作日的，除赔偿甲方所有损失外，应支付合同总价10%的违约金。</w:t>
      </w:r>
    </w:p>
    <w:p w14:paraId="65A86B29">
      <w:pPr>
        <w:spacing w:line="360" w:lineRule="auto"/>
        <w:rPr>
          <w:rFonts w:ascii="新宋体" w:hAnsi="新宋体" w:eastAsia="新宋体" w:cs="宋体"/>
          <w:szCs w:val="21"/>
        </w:rPr>
      </w:pPr>
    </w:p>
    <w:p w14:paraId="0923E12F">
      <w:pPr>
        <w:pStyle w:val="3"/>
        <w:rPr>
          <w:rFonts w:ascii="新宋体" w:hAnsi="新宋体" w:eastAsia="新宋体"/>
          <w:kern w:val="44"/>
          <w:szCs w:val="28"/>
        </w:rPr>
      </w:pPr>
      <w:r>
        <w:rPr>
          <w:rFonts w:hint="eastAsia" w:ascii="新宋体" w:hAnsi="新宋体" w:eastAsia="新宋体"/>
          <w:kern w:val="44"/>
          <w:szCs w:val="28"/>
        </w:rPr>
        <w:t>六、投标报价</w:t>
      </w:r>
    </w:p>
    <w:p w14:paraId="40828105">
      <w:pPr>
        <w:spacing w:line="360" w:lineRule="auto"/>
        <w:rPr>
          <w:rFonts w:ascii="新宋体" w:hAnsi="新宋体" w:eastAsia="新宋体" w:cs="宋体"/>
          <w:szCs w:val="21"/>
        </w:rPr>
      </w:pPr>
      <w:r>
        <w:rPr>
          <w:rFonts w:hint="eastAsia" w:ascii="新宋体" w:hAnsi="新宋体" w:eastAsia="新宋体" w:cs="宋体"/>
          <w:szCs w:val="21"/>
        </w:rPr>
        <w:t>1.本项目服务费采用包干制，应包括服务成本、法定税费和企业的利润。由企业根据招标文件所提供的资料自行测算投标报价；一经中标，投标报价总价作为中标单位与采购人签定的合同金额，合同期限内不做调整。</w:t>
      </w:r>
    </w:p>
    <w:p w14:paraId="699C7874">
      <w:pPr>
        <w:spacing w:line="360" w:lineRule="auto"/>
        <w:rPr>
          <w:rFonts w:ascii="新宋体" w:hAnsi="新宋体" w:eastAsia="新宋体" w:cs="宋体"/>
          <w:szCs w:val="21"/>
        </w:rPr>
      </w:pPr>
      <w:r>
        <w:rPr>
          <w:rFonts w:hint="eastAsia" w:ascii="新宋体" w:hAnsi="新宋体" w:eastAsia="新宋体" w:cs="宋体"/>
          <w:szCs w:val="21"/>
        </w:rPr>
        <w:t>2.投标人应根据本企业的成本自行决定报价，但不得以低于其企业成本的报价投标；评标时，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14:paraId="32C5D99A">
      <w:pPr>
        <w:spacing w:line="360" w:lineRule="auto"/>
        <w:rPr>
          <w:rFonts w:ascii="新宋体" w:hAnsi="新宋体" w:eastAsia="新宋体" w:cs="宋体"/>
          <w:szCs w:val="21"/>
        </w:rPr>
      </w:pPr>
      <w:r>
        <w:rPr>
          <w:rFonts w:hint="eastAsia" w:ascii="新宋体" w:hAnsi="新宋体" w:eastAsia="新宋体" w:cs="宋体"/>
          <w:szCs w:val="21"/>
        </w:rPr>
        <w:t>3.投标人的投标报价，应是本项目招标范围和招标文件及合同条款上所列的各项内容中所述的全部，不得以任何理由予以重复，并以投标人在投标文件中提出的综合单价或总价为依据。</w:t>
      </w:r>
    </w:p>
    <w:p w14:paraId="6B39AC27">
      <w:pPr>
        <w:spacing w:line="360" w:lineRule="auto"/>
        <w:rPr>
          <w:rFonts w:ascii="新宋体" w:hAnsi="新宋体" w:eastAsia="新宋体" w:cs="宋体"/>
          <w:szCs w:val="21"/>
        </w:rPr>
      </w:pPr>
      <w:r>
        <w:rPr>
          <w:rFonts w:hint="eastAsia" w:ascii="新宋体" w:hAnsi="新宋体" w:eastAsia="新宋体" w:cs="宋体"/>
          <w:szCs w:val="21"/>
        </w:rPr>
        <w:t>4.除非政府集中采购机构通过修改招标文件予以更正，否则，投标人应毫无例外地按招标文件所列的清单中项目和数量填报综合单价或总价。投标人未填综合单价或总价的项目，在实施后，将不得以支付，并视作该项费用已包括在其它有价款的综合单价或总价内。</w:t>
      </w:r>
    </w:p>
    <w:p w14:paraId="1E8E51C0">
      <w:pPr>
        <w:spacing w:line="360" w:lineRule="auto"/>
        <w:rPr>
          <w:rFonts w:ascii="新宋体" w:hAnsi="新宋体" w:eastAsia="新宋体" w:cs="宋体"/>
          <w:szCs w:val="21"/>
        </w:rPr>
      </w:pPr>
      <w:r>
        <w:rPr>
          <w:rFonts w:hint="eastAsia" w:ascii="新宋体" w:hAnsi="新宋体" w:eastAsia="新宋体" w:cs="宋体"/>
          <w:szCs w:val="21"/>
        </w:rPr>
        <w:t>5.投标人应充分了解项目的位置、情况、道路及任何其它足以影响投标报价的情况，任何因忽视或误解项目情况而导致的索赔或服务期限延长申请将不获批准。</w:t>
      </w:r>
    </w:p>
    <w:p w14:paraId="3C4113E9">
      <w:pPr>
        <w:spacing w:line="360" w:lineRule="auto"/>
      </w:pPr>
      <w:r>
        <w:rPr>
          <w:rFonts w:hint="eastAsia" w:ascii="新宋体" w:hAnsi="新宋体" w:eastAsia="新宋体" w:cs="宋体"/>
          <w:szCs w:val="21"/>
        </w:rPr>
        <w:t>6.投标人不得期望通过索赔等方式获取补偿，否则，除可能遭到拒绝外，还可能将被作为不良行为记录在案，并可能影响其以后参加政府采购的项目投标。各投标人在投标报价时，应充分考虑投标报价的风险。</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新宋体">
    <w:panose1 w:val="02010609030101010101"/>
    <w:charset w:val="86"/>
    <w:family w:val="modern"/>
    <w:pitch w:val="default"/>
    <w:sig w:usb0="00000203" w:usb1="288F0000" w:usb2="0000000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WVkODc0MDcwODE5NGFhODg5ZGIyNjJiN2M3MmFlYjUifQ=="/>
  </w:docVars>
  <w:rsids>
    <w:rsidRoot w:val="0036747B"/>
    <w:rsid w:val="0036747B"/>
    <w:rsid w:val="00382D3B"/>
    <w:rsid w:val="00F516D7"/>
    <w:rsid w:val="115165E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3">
    <w:name w:val="heading 3"/>
    <w:basedOn w:val="4"/>
    <w:next w:val="1"/>
    <w:qFormat/>
    <w:uiPriority w:val="0"/>
    <w:pPr>
      <w:spacing w:before="260" w:after="260" w:line="240" w:lineRule="auto"/>
      <w:outlineLvl w:val="2"/>
    </w:pPr>
    <w:rPr>
      <w:rFonts w:ascii="宋体" w:hAnsi="宋体" w:eastAsia="宋体"/>
      <w:szCs w:val="32"/>
    </w:rPr>
  </w:style>
  <w:style w:type="paragraph" w:styleId="4">
    <w:name w:val="heading 4"/>
    <w:basedOn w:val="1"/>
    <w:next w:val="1"/>
    <w:qFormat/>
    <w:uiPriority w:val="0"/>
    <w:pPr>
      <w:keepNext/>
      <w:keepLines/>
      <w:spacing w:before="280" w:after="290" w:line="376" w:lineRule="auto"/>
      <w:outlineLvl w:val="3"/>
    </w:pPr>
    <w:rPr>
      <w:rFonts w:ascii="Arial" w:hAnsi="Arial" w:eastAsia="黑体"/>
      <w:b/>
      <w:bCs/>
      <w:sz w:val="28"/>
      <w:szCs w:val="28"/>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Normal Indent"/>
    <w:basedOn w:val="1"/>
    <w:qFormat/>
    <w:uiPriority w:val="0"/>
    <w:pPr>
      <w:ind w:firstLine="420"/>
    </w:pPr>
    <w:rPr>
      <w:szCs w:val="20"/>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0</Words>
  <Characters>0</Characters>
  <Lines>0</Lines>
  <Paragraphs>0</Paragraphs>
  <TotalTime>0</TotalTime>
  <ScaleCrop>false</ScaleCrop>
  <LinksUpToDate>false</LinksUpToDate>
  <CharactersWithSpaces>0</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2025-01-08T09:25:00Z</dcterms:created>
  <dc:creator>瑞凝信李亦琳</dc:creator>
  <cp:lastModifiedBy>詹冰蕊</cp:lastModifiedBy>
  <dcterms:modified xsi:type="dcterms:W3CDTF">2025-02-26T07:09:53Z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636963B245114456A1304D358E530FBA_12</vt:lpwstr>
  </property>
</Properties>
</file>