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25F4C" w14:textId="77777777" w:rsidR="0066566D" w:rsidRDefault="0066566D" w:rsidP="0066566D">
      <w:pPr>
        <w:pStyle w:val="3"/>
        <w:rPr>
          <w:rFonts w:ascii="新宋体" w:eastAsia="新宋体" w:hAnsi="新宋体"/>
          <w:kern w:val="44"/>
          <w:szCs w:val="28"/>
        </w:rPr>
      </w:pPr>
      <w:r>
        <w:rPr>
          <w:rFonts w:ascii="新宋体" w:eastAsia="新宋体" w:hAnsi="新宋体" w:hint="eastAsia"/>
          <w:kern w:val="44"/>
          <w:szCs w:val="28"/>
        </w:rPr>
        <w:t>三、项目概况</w:t>
      </w:r>
    </w:p>
    <w:p w14:paraId="70DEA878"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人民币捌拾万零玖仟叁佰元（809,300.00），</w:t>
      </w:r>
      <w:r>
        <w:rPr>
          <w:rFonts w:ascii="新宋体" w:eastAsia="新宋体" w:hAnsi="新宋体" w:cs="宋体"/>
          <w:szCs w:val="21"/>
        </w:rPr>
        <w:t>最高投标限价</w:t>
      </w:r>
      <w:r>
        <w:rPr>
          <w:rFonts w:ascii="新宋体" w:eastAsia="新宋体" w:hAnsi="新宋体" w:cs="宋体" w:hint="eastAsia"/>
          <w:szCs w:val="21"/>
        </w:rPr>
        <w:t>: 人民币捌拾万零玖仟叁佰元（809,300.00）。</w:t>
      </w:r>
    </w:p>
    <w:p w14:paraId="28F1F6D6"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597314D" w14:textId="77777777" w:rsidR="0066566D" w:rsidRDefault="0066566D" w:rsidP="0066566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根据《国务院关于加强数字政府建设的指导意见》《深圳经济特区信息化建设条例》《深圳市市级政务信息化项目管理办法》以及《深圳市政府投资项目验收管理暂行办法》等有关规定，对深圳市司法局实施建设“区块链+法治”试点示范项目建设中所建设系统的功能、性能、源代码等进行检测，对项目各子系统</w:t>
      </w:r>
      <w:proofErr w:type="gramStart"/>
      <w:r>
        <w:rPr>
          <w:rFonts w:ascii="新宋体" w:eastAsia="新宋体" w:hAnsi="新宋体" w:cs="宋体" w:hint="eastAsia"/>
          <w:szCs w:val="21"/>
        </w:rPr>
        <w:t>进行等保测评</w:t>
      </w:r>
      <w:proofErr w:type="gramEnd"/>
      <w:r>
        <w:rPr>
          <w:rFonts w:ascii="新宋体" w:eastAsia="新宋体" w:hAnsi="新宋体" w:cs="宋体" w:hint="eastAsia"/>
          <w:szCs w:val="21"/>
        </w:rPr>
        <w:t>，并对项目建设管理、项目效益等方面实际效果开展评价，依据招投标文件和合同约定，核查规定范围内各项工作是否已经全部完成，可交付成果是否符合要求。</w:t>
      </w:r>
    </w:p>
    <w:p w14:paraId="744B54B3" w14:textId="77777777" w:rsidR="0066566D" w:rsidRDefault="0066566D" w:rsidP="0066566D">
      <w:pPr>
        <w:rPr>
          <w:rFonts w:ascii="新宋体" w:eastAsia="新宋体" w:hAnsi="新宋体"/>
          <w:b/>
          <w:bCs/>
          <w:szCs w:val="21"/>
        </w:rPr>
      </w:pPr>
    </w:p>
    <w:p w14:paraId="08FD4F4A" w14:textId="77777777" w:rsidR="0066566D" w:rsidRDefault="0066566D" w:rsidP="0066566D">
      <w:pPr>
        <w:pStyle w:val="3"/>
        <w:rPr>
          <w:rFonts w:ascii="新宋体" w:eastAsia="新宋体" w:hAnsi="新宋体"/>
          <w:kern w:val="44"/>
          <w:szCs w:val="28"/>
        </w:rPr>
      </w:pPr>
      <w:r>
        <w:rPr>
          <w:rFonts w:ascii="新宋体" w:eastAsia="新宋体" w:hAnsi="新宋体" w:hint="eastAsia"/>
          <w:kern w:val="44"/>
          <w:szCs w:val="28"/>
        </w:rPr>
        <w:t>四、项目技术要求</w:t>
      </w:r>
    </w:p>
    <w:p w14:paraId="78D791E3" w14:textId="77777777" w:rsidR="0066566D" w:rsidRDefault="0066566D" w:rsidP="0066566D">
      <w:pPr>
        <w:spacing w:line="360" w:lineRule="auto"/>
        <w:rPr>
          <w:rFonts w:ascii="新宋体" w:eastAsia="新宋体" w:hAnsi="新宋体"/>
          <w:b/>
        </w:rPr>
      </w:pPr>
      <w:r>
        <w:rPr>
          <w:rFonts w:ascii="新宋体" w:eastAsia="新宋体" w:hAnsi="新宋体" w:hint="eastAsia"/>
          <w:b/>
        </w:rPr>
        <w:t>（一）总体要求</w:t>
      </w:r>
    </w:p>
    <w:p w14:paraId="0104A0A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依据国家法律法规和《深圳市市级政务信息化项目管理办法》《深圳市政务信息化项目检测与验收管理办法》等相关要求，对采购人正在开展建设的“建设项目”提供以下第三方测评服务：</w:t>
      </w:r>
    </w:p>
    <w:p w14:paraId="29943C2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1.1 系统检测服务，完成系统功能和性能检测，形成系统检测报告；系统安全自测服务，形成系统安全自测报告，配合市信息安全管理中心完成安全专项测评；完成系统源代码安全审计，形成源代码安全审查报告；协助做好检测过程中的问题整改工作。</w:t>
      </w:r>
    </w:p>
    <w:p w14:paraId="36D465F5"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1.2 按照《中华人民共和国网络安全法》及《信息安全技术-网络安全等级保护基本要求》（CB/T 22239-2019）等配套标准规范的要求按照二级标准完成网络安全等级保护测评，形成网络安全等级保护测评报告；协助做好测评过程中的问题整改工作。</w:t>
      </w:r>
    </w:p>
    <w:p w14:paraId="0D58396B"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1.3 按照《中华人民共和国密码法》、《商用密码应用安全性评估管理办法》等的文件要求，对“建设项目”开展商用密码应用安全性评估，出具商用密码应用安全性评估报告；协助做好测评过程中的问题整改和备案工作。</w:t>
      </w:r>
    </w:p>
    <w:p w14:paraId="0C9F6BBB" w14:textId="77777777" w:rsidR="0066566D" w:rsidRDefault="0066566D" w:rsidP="0066566D">
      <w:pPr>
        <w:spacing w:line="360" w:lineRule="auto"/>
        <w:rPr>
          <w:rFonts w:ascii="新宋体" w:eastAsia="新宋体" w:hAnsi="新宋体"/>
          <w:b/>
        </w:rPr>
      </w:pPr>
      <w:r>
        <w:rPr>
          <w:rFonts w:ascii="新宋体" w:eastAsia="新宋体" w:hAnsi="新宋体" w:hint="eastAsia"/>
          <w:b/>
        </w:rPr>
        <w:t>（二）具体要求</w:t>
      </w:r>
    </w:p>
    <w:p w14:paraId="5AF49EB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 根据“建设项目”建设方案、招投标文件、合同、软件系统需求说明书和相关国家标准</w:t>
      </w:r>
      <w:r>
        <w:rPr>
          <w:rFonts w:ascii="新宋体" w:eastAsia="新宋体" w:hAnsi="新宋体" w:hint="eastAsia"/>
          <w:bCs/>
        </w:rPr>
        <w:lastRenderedPageBreak/>
        <w:t>规范，对“建设项目”开展第三方系统检测，评估系统功能和性能等是否满足建设内容的要求，系统检测服务内容以及服务成果包括且不限于以下内容：</w:t>
      </w:r>
    </w:p>
    <w:p w14:paraId="75793AF3"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2.1.1软件系统功能性测试</w:t>
      </w:r>
    </w:p>
    <w:p w14:paraId="46D77B2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功能性测试应针对应用软件系统的功能需求逐项进行测试，以验证其功能是否满足建设要求。对应功能性测试需满足以下要求：</w:t>
      </w:r>
    </w:p>
    <w:p w14:paraId="539B8EC2"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2.1.1.1 应详细阐述具体方法和手段，以确保通过测试验证应用软件系统建设要求是否得到完整覆盖。</w:t>
      </w:r>
    </w:p>
    <w:p w14:paraId="11C0864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2.1.1.2 针对不同类型应用软件特点，对系统业务流和数据流进行分析，提出一般性测试方法和测试重点，并提出针对各具体应用软件系统的可操作的测试方案。</w:t>
      </w:r>
    </w:p>
    <w:p w14:paraId="21EC883F"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2.1.1.3 应综合运用黑盒测试方法和手段，提出具体测试用例设计，确保业务流程分支覆盖完整、被测软件系统展示的基础数据和应用数据准确。</w:t>
      </w:r>
    </w:p>
    <w:p w14:paraId="0A3397A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具体描述测试使用的测试工具、可能需要准备的测试数据和测试环境。</w:t>
      </w:r>
    </w:p>
    <w:p w14:paraId="784EA9ED"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2.1.2  软件系统性能效率测试</w:t>
      </w:r>
    </w:p>
    <w:p w14:paraId="7CD9E06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应用软件系统性能效率应满足用户的日常工作以及相关依据文档要求。性能测试服务内容以及服务成果包括但不限于以下：</w:t>
      </w:r>
    </w:p>
    <w:p w14:paraId="4D81F009"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2.1.2.1 针对各应用软件系统具体分析，根据设计和需求提炼出测试应主要考虑的性能指标项目；</w:t>
      </w:r>
    </w:p>
    <w:p w14:paraId="0CE25A6C"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2.1.2.2 根据系统设计需求真实地模拟大规模用户接入各被测项目中，模拟用户访问行为，测试系统是否可以承受预定设计容量的大规模用户并发操作，且不会因为大规模用户并发操作而导致逻辑错误；</w:t>
      </w:r>
    </w:p>
    <w:p w14:paraId="62B389D8"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2.1.2.3 进行压力测试，测试各被测系统在预定设计容量之外还可以承受的业务压力，以向用户提示系统承受意外用户增长的冗余能力；</w:t>
      </w:r>
    </w:p>
    <w:p w14:paraId="1CBC0E8B"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2.1.2.4 进行疲劳强度测试，模拟用户实际业务的混合场景，进行长时间的测试，以此测试系统的稳定性；</w:t>
      </w:r>
    </w:p>
    <w:p w14:paraId="7586B3A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具体描述测试使用的测试工具、可能需要准备的测试数据和测试环境。</w:t>
      </w:r>
    </w:p>
    <w:p w14:paraId="4BA5E5C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2.1.3  软件系统可靠性测试</w:t>
      </w:r>
    </w:p>
    <w:p w14:paraId="366BF4DB"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要求进行可靠性测试，验证被测系统的容错性、易恢复性是否满足系统建设要求。</w:t>
      </w:r>
    </w:p>
    <w:p w14:paraId="669D43E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2.1.4 软件系统易用性测试</w:t>
      </w:r>
    </w:p>
    <w:p w14:paraId="3A44018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易用性测试验证被测系统的可辨识性、易学习性、易操作性、用户差错防御性、用户界面舒适性、</w:t>
      </w:r>
      <w:proofErr w:type="gramStart"/>
      <w:r>
        <w:rPr>
          <w:rFonts w:ascii="新宋体" w:eastAsia="新宋体" w:hAnsi="新宋体" w:hint="eastAsia"/>
          <w:bCs/>
        </w:rPr>
        <w:t>易访问性</w:t>
      </w:r>
      <w:proofErr w:type="gramEnd"/>
      <w:r>
        <w:rPr>
          <w:rFonts w:ascii="新宋体" w:eastAsia="新宋体" w:hAnsi="新宋体" w:hint="eastAsia"/>
          <w:bCs/>
        </w:rPr>
        <w:t>可否满足系统建设要求。易用性测试覆盖至少以下内容：界面内容安排是否</w:t>
      </w:r>
      <w:r>
        <w:rPr>
          <w:rFonts w:ascii="新宋体" w:eastAsia="新宋体" w:hAnsi="新宋体" w:hint="eastAsia"/>
          <w:bCs/>
        </w:rPr>
        <w:lastRenderedPageBreak/>
        <w:t>易理解；必要的提示信息是否清晰；操作是否简便；界面风格是否一致等。</w:t>
      </w:r>
    </w:p>
    <w:p w14:paraId="5DFAE8B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2.1.5 软件系统接口测试</w:t>
      </w:r>
    </w:p>
    <w:p w14:paraId="7DBD899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系统接口测试要求覆盖被测系统与其他系统间的外部接口满足应用要求。</w:t>
      </w:r>
    </w:p>
    <w:p w14:paraId="6B537383"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2.2  系统安全自测服务</w:t>
      </w:r>
    </w:p>
    <w:p w14:paraId="7B8361E5"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系统安全自测主要为系统上线前进行安全自测，针对系统身份鉴别、访问控制、数据传输安全性、数据存储安全性、数据备份与恢复、入侵防范等方面对系统安全性进行全面评估，评估方式包括不限于漏洞扫描、渗透测试、关键基线指标核查等，其中渗透测试需覆盖SQL注入、XSS、文件上传、命令执行、反序列化等常见高危漏洞。</w:t>
      </w:r>
    </w:p>
    <w:p w14:paraId="7A4F9163"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2.3  安全专项测评服务</w:t>
      </w:r>
    </w:p>
    <w:p w14:paraId="5989854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2.3.1 对“建设项目”进行第三方专项安全测评，及时发现工程项目中存在的安全漏洞并督促整改，提高项目建设质量。测评服务内容以及服务成果包括但不限于以下：</w:t>
      </w:r>
    </w:p>
    <w:p w14:paraId="0BCA56C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一是安全控制测评，主要测评信息安全的基本安全控制在信息系统中的实施配置情况；安全控制测评分为安全技术测评和安全管理测评两大类。安全技术测评包括：安全物理环境、安全通信网络、安全区域边界、安全计算环境和安全管理中心五个方面的安全控制测评。二是系统整体测评，主要测评分析信息系统的整体安全性。 </w:t>
      </w:r>
    </w:p>
    <w:p w14:paraId="6C6EBD7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 系统源代码安全审计服务</w:t>
      </w:r>
    </w:p>
    <w:p w14:paraId="6F669301"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对“建设项目”的软件系统源代码，进行全量的代码安全审计，从业务逻辑层面、应用实现架构层面进行全面的评估，并通过专业工具及人工干预相结合、分批对系统开展代码审计工作，对程序可能存在的后门、陷阱、SQL注入、</w:t>
      </w:r>
      <w:proofErr w:type="gramStart"/>
      <w:r>
        <w:rPr>
          <w:rFonts w:ascii="新宋体" w:eastAsia="新宋体" w:hAnsi="新宋体" w:hint="eastAsia"/>
          <w:bCs/>
        </w:rPr>
        <w:t>跨站漏洞</w:t>
      </w:r>
      <w:proofErr w:type="gramEnd"/>
      <w:r>
        <w:rPr>
          <w:rFonts w:ascii="新宋体" w:eastAsia="新宋体" w:hAnsi="新宋体" w:hint="eastAsia"/>
          <w:bCs/>
        </w:rPr>
        <w:t>、输入输出注入等风险进行有效的封堵。服务内容以及服务成果包括但不限于以下：</w:t>
      </w:r>
    </w:p>
    <w:p w14:paraId="4D22906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2.4.1 工具扫描：将软件代码整理编译成扫描工具所要求的格式，检查代码项目是否完整、依赖是否存在，包括源代码、配置文件、web 页面、脚本文件等。</w:t>
      </w:r>
    </w:p>
    <w:p w14:paraId="420B0082"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2.4.2 人工代码审计要求</w:t>
      </w:r>
    </w:p>
    <w:p w14:paraId="3B1F587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人工代码审计着重于业务逻辑、复杂数据流、敏感数据及功能模块的安全审查，弥补自动化扫描的缺陷。人工审计结果的报告格式和自动化审计相同。</w:t>
      </w:r>
    </w:p>
    <w:p w14:paraId="3C90990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2.4.3 验证测试</w:t>
      </w:r>
    </w:p>
    <w:p w14:paraId="124B814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通过渗透测试的方法，以模拟攻击的方法，从外部访问者的角度对应用系统程序代码进行安全漏洞发现和漏洞利用的验证。</w:t>
      </w:r>
    </w:p>
    <w:p w14:paraId="75AC460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2.4.4  服务成果</w:t>
      </w:r>
    </w:p>
    <w:p w14:paraId="6D08742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2.4.4.1 《系统源代码安全审计过程存在的问题汇总清单》</w:t>
      </w:r>
    </w:p>
    <w:p w14:paraId="785DF488" w14:textId="77777777" w:rsidR="0066566D" w:rsidRDefault="0066566D" w:rsidP="0066566D">
      <w:pPr>
        <w:spacing w:line="360" w:lineRule="auto"/>
        <w:rPr>
          <w:rFonts w:ascii="新宋体" w:eastAsia="新宋体" w:hAnsi="新宋体"/>
          <w:bCs/>
        </w:rPr>
      </w:pPr>
      <w:r>
        <w:rPr>
          <w:rFonts w:ascii="新宋体" w:eastAsia="新宋体" w:hAnsi="新宋体" w:hint="eastAsia"/>
          <w:bCs/>
        </w:rPr>
        <w:lastRenderedPageBreak/>
        <w:t>2.4.4.2 《源代码安全审查报告》（正式盖章版）</w:t>
      </w:r>
    </w:p>
    <w:p w14:paraId="477AEDE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2.5 网络安全等级保护测评服务 </w:t>
      </w:r>
      <w:r>
        <w:rPr>
          <w:rFonts w:ascii="新宋体" w:eastAsia="新宋体" w:hAnsi="新宋体" w:hint="eastAsia"/>
          <w:bCs/>
          <w:color w:val="C00000"/>
        </w:rPr>
        <w:t>非主体、非关键性服务内容</w:t>
      </w:r>
    </w:p>
    <w:p w14:paraId="5206AC49"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根据《中华人民共和国网络安全法》、《信息安全等级保护管理办法》等的文件要求，对“建设项目”开展网络安全等级保护测评服务,服务内容以及服务成果包括但不限于以下：</w:t>
      </w:r>
    </w:p>
    <w:p w14:paraId="650C4AC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2.5.1 定级备案</w:t>
      </w:r>
    </w:p>
    <w:p w14:paraId="239DA17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协助采购人编制应用系统的《信息系统定级备案表》和《信息系统定级报告》，向当地网监部门提交纸质版盖章的备案材料。</w:t>
      </w:r>
    </w:p>
    <w:p w14:paraId="71481EA8"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2.5.2 差距测评</w:t>
      </w:r>
    </w:p>
    <w:p w14:paraId="76CCF75B" w14:textId="77777777" w:rsidR="0066566D" w:rsidRDefault="0066566D" w:rsidP="0066566D">
      <w:pPr>
        <w:spacing w:line="360" w:lineRule="auto"/>
        <w:rPr>
          <w:rFonts w:ascii="新宋体" w:eastAsia="新宋体" w:hAnsi="新宋体"/>
          <w:bCs/>
        </w:rPr>
      </w:pPr>
      <w:proofErr w:type="gramStart"/>
      <w:r>
        <w:rPr>
          <w:rFonts w:ascii="新宋体" w:eastAsia="新宋体" w:hAnsi="新宋体" w:hint="eastAsia"/>
          <w:bCs/>
        </w:rPr>
        <w:t>按照等保</w:t>
      </w:r>
      <w:proofErr w:type="gramEnd"/>
      <w:r>
        <w:rPr>
          <w:rFonts w:ascii="新宋体" w:eastAsia="新宋体" w:hAnsi="新宋体" w:hint="eastAsia"/>
          <w:bCs/>
        </w:rPr>
        <w:t>2.0要求，从安全技术（物理安全、网络安全、主机系统安全、数据安全、应用安全）和安全管理（安全管理机构、安全管理制度、人员安全管理、系统建设管理和系统运维管理）等方面进行差距测评，提交差距测评报告。</w:t>
      </w:r>
    </w:p>
    <w:p w14:paraId="303A66A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2.5.3 整改建议</w:t>
      </w:r>
    </w:p>
    <w:p w14:paraId="4B80F39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对差距测评中发现的问题提出问题清单、整改建议和合</w:t>
      </w:r>
      <w:proofErr w:type="gramStart"/>
      <w:r>
        <w:rPr>
          <w:rFonts w:ascii="新宋体" w:eastAsia="新宋体" w:hAnsi="新宋体" w:hint="eastAsia"/>
          <w:bCs/>
        </w:rPr>
        <w:t>规</w:t>
      </w:r>
      <w:proofErr w:type="gramEnd"/>
      <w:r>
        <w:rPr>
          <w:rFonts w:ascii="新宋体" w:eastAsia="新宋体" w:hAnsi="新宋体" w:hint="eastAsia"/>
          <w:bCs/>
        </w:rPr>
        <w:t>效果与要求，并对整体符合二级情况进行评估，指导采购人进行整改和安全加固。</w:t>
      </w:r>
    </w:p>
    <w:p w14:paraId="2D0E3A1B"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2.5.4 验收测评</w:t>
      </w:r>
    </w:p>
    <w:p w14:paraId="15D7EB83"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开展验收测评，对整改和加固后的系统进行再次测评，测评通过后编写并提交上述系统的《网络安全等级测评报告》，协助提交</w:t>
      </w:r>
      <w:proofErr w:type="gramStart"/>
      <w:r>
        <w:rPr>
          <w:rFonts w:ascii="新宋体" w:eastAsia="新宋体" w:hAnsi="新宋体" w:hint="eastAsia"/>
          <w:bCs/>
        </w:rPr>
        <w:t>至网监</w:t>
      </w:r>
      <w:proofErr w:type="gramEnd"/>
      <w:r>
        <w:rPr>
          <w:rFonts w:ascii="新宋体" w:eastAsia="新宋体" w:hAnsi="新宋体" w:hint="eastAsia"/>
          <w:bCs/>
        </w:rPr>
        <w:t>部门。</w:t>
      </w:r>
    </w:p>
    <w:p w14:paraId="1772C1E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2.6 商用密码应用安全性评估服务 </w:t>
      </w:r>
      <w:r>
        <w:rPr>
          <w:rFonts w:ascii="新宋体" w:eastAsia="新宋体" w:hAnsi="新宋体" w:hint="eastAsia"/>
          <w:bCs/>
          <w:color w:val="C00000"/>
        </w:rPr>
        <w:t>非主体、非关键性服务内容</w:t>
      </w:r>
    </w:p>
    <w:p w14:paraId="288689ED"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根据《中华人民共和国密码法》、《商用密码应用安全性评估管理办法》等的文件要求，对“建设项目”开展商用密码应用安全性评估,服务内容包括但不限于以下：</w:t>
      </w:r>
    </w:p>
    <w:p w14:paraId="4C6600F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2.6.1合</w:t>
      </w:r>
      <w:proofErr w:type="gramStart"/>
      <w:r>
        <w:rPr>
          <w:rFonts w:ascii="新宋体" w:eastAsia="新宋体" w:hAnsi="新宋体" w:hint="eastAsia"/>
          <w:bCs/>
        </w:rPr>
        <w:t>规</w:t>
      </w:r>
      <w:proofErr w:type="gramEnd"/>
      <w:r>
        <w:rPr>
          <w:rFonts w:ascii="新宋体" w:eastAsia="新宋体" w:hAnsi="新宋体" w:hint="eastAsia"/>
          <w:bCs/>
        </w:rPr>
        <w:t>性评估</w:t>
      </w:r>
    </w:p>
    <w:p w14:paraId="0040FD73"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判定信息系统使用的密码算法、密码协议、密钥管理是否符合法律法规的规定和密码相关国家标准、行业标准的有关要求。同时，评估使用的密码产品和密码服务是否经过国家密码管理部门核准或由具备资格的机构认证合格。</w:t>
      </w:r>
    </w:p>
    <w:p w14:paraId="5847CAD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 2.6.2正确性评估</w:t>
      </w:r>
    </w:p>
    <w:p w14:paraId="553D7E6F"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判定密码算法、密码协议、密钥管理、密码产品和服务使用是否正确。这包括标准算法、协议和密钥管理机制是否按照相应的密码国家和行业标准进行正确的设计和实现，自定义密码协议、密钥管理机制的设计和实现是否正确，安全性是否满足要求，密码保障系统建设或改造过程中密码产品和服务的部署和应用是否正确。</w:t>
      </w:r>
    </w:p>
    <w:p w14:paraId="332858DE"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2.6.3有效性评估</w:t>
      </w:r>
    </w:p>
    <w:p w14:paraId="2DE60FBF" w14:textId="77777777" w:rsidR="0066566D" w:rsidRDefault="0066566D" w:rsidP="0066566D">
      <w:pPr>
        <w:spacing w:line="360" w:lineRule="auto"/>
        <w:rPr>
          <w:rFonts w:ascii="新宋体" w:eastAsia="新宋体" w:hAnsi="新宋体"/>
          <w:bCs/>
        </w:rPr>
      </w:pPr>
      <w:r>
        <w:rPr>
          <w:rFonts w:ascii="新宋体" w:eastAsia="新宋体" w:hAnsi="新宋体" w:hint="eastAsia"/>
          <w:bCs/>
        </w:rPr>
        <w:lastRenderedPageBreak/>
        <w:t>判定信息系统中实现的密码保障系统在信息系统运行过程中是否发挥了实际效用，是否满足了信息系统的安全需求，切实解决了信息系统面临的安全问题。</w:t>
      </w:r>
    </w:p>
    <w:p w14:paraId="6DF6D6B8"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   2.7 </w:t>
      </w:r>
      <w:proofErr w:type="gramStart"/>
      <w:r>
        <w:rPr>
          <w:rFonts w:ascii="新宋体" w:eastAsia="新宋体" w:hAnsi="新宋体" w:hint="eastAsia"/>
          <w:bCs/>
        </w:rPr>
        <w:t>自评价</w:t>
      </w:r>
      <w:proofErr w:type="gramEnd"/>
      <w:r>
        <w:rPr>
          <w:rFonts w:ascii="新宋体" w:eastAsia="新宋体" w:hAnsi="新宋体" w:hint="eastAsia"/>
          <w:bCs/>
        </w:rPr>
        <w:t>咨询服务</w:t>
      </w:r>
    </w:p>
    <w:p w14:paraId="319843DC"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协助采购人对项目前期决策过程、建设实施过程以及实施效果、可持续性等进行自我总结分析，并针对偏差问题提出相关建议，提交总结分析报告。</w:t>
      </w:r>
    </w:p>
    <w:p w14:paraId="397021DE" w14:textId="77777777" w:rsidR="0066566D" w:rsidRDefault="0066566D" w:rsidP="0066566D">
      <w:pPr>
        <w:spacing w:line="360" w:lineRule="auto"/>
        <w:rPr>
          <w:rFonts w:ascii="新宋体" w:eastAsia="新宋体" w:hAnsi="新宋体"/>
          <w:b/>
        </w:rPr>
      </w:pPr>
      <w:r>
        <w:rPr>
          <w:rFonts w:ascii="新宋体" w:eastAsia="新宋体" w:hAnsi="新宋体" w:hint="eastAsia"/>
          <w:b/>
        </w:rPr>
        <w:t>（三）服务依据及标准</w:t>
      </w:r>
    </w:p>
    <w:p w14:paraId="1DD01E69"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各项测评和检测服务应遵照现行国家、地区的有关法律、法规、规定为依据，确保在第三方检测服务中遵循国家的有关法律法规，确保遵循深圳市市级政务信息化项目和深圳市政府投资项目的有关标准和规范，并依照相应标准和规范开展第三方测评服务。</w:t>
      </w:r>
    </w:p>
    <w:p w14:paraId="542B770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3.1  GB/T25000.51-2016 《系统与软件工程 系统与软件质量要求和评价（</w:t>
      </w:r>
      <w:proofErr w:type="spellStart"/>
      <w:r>
        <w:rPr>
          <w:rFonts w:ascii="新宋体" w:eastAsia="新宋体" w:hAnsi="新宋体" w:hint="eastAsia"/>
          <w:bCs/>
        </w:rPr>
        <w:t>SQuaRE</w:t>
      </w:r>
      <w:proofErr w:type="spellEnd"/>
      <w:r>
        <w:rPr>
          <w:rFonts w:ascii="新宋体" w:eastAsia="新宋体" w:hAnsi="新宋体" w:hint="eastAsia"/>
          <w:bCs/>
        </w:rPr>
        <w:t>） 第51部分：就绪可用软件产品（RUSP）的质量要求和测试细则》</w:t>
      </w:r>
    </w:p>
    <w:p w14:paraId="22828CC2"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 xml:space="preserve">3.2 《GB/T 20984-2022信息安全技术 信息安全风险评估方法》 </w:t>
      </w:r>
    </w:p>
    <w:p w14:paraId="055EA4F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3.3 《GB/T 31509-2015 信息安全技术 信息安全风险评估实施指南》</w:t>
      </w:r>
    </w:p>
    <w:p w14:paraId="1AEADA2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3.4《GB/T 39412-2020 信息安全技术 代码安全审计规范》</w:t>
      </w:r>
    </w:p>
    <w:p w14:paraId="3EBF6514"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3.5 《GB/T 22239-2019 信息安全技术 网络安全等级保护基本要求》</w:t>
      </w:r>
    </w:p>
    <w:p w14:paraId="4F958D7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3.6 《GB/T 28448-2019 信息安全技术 网络安全等级保护测评要求》</w:t>
      </w:r>
    </w:p>
    <w:p w14:paraId="376159A9"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3.7 《GB/T 28449-2018 信息安全技术 网络安全等级保护测评过程指南》</w:t>
      </w:r>
    </w:p>
    <w:p w14:paraId="2CB98828"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3.8 《GB/T 25070-2019信息安全技术 网络安全等级保护安全设计技术要求》</w:t>
      </w:r>
    </w:p>
    <w:p w14:paraId="64A91F4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3.9 《GB/T 22240—2020 信息安全技术 网络安全等级保护定级指南》</w:t>
      </w:r>
    </w:p>
    <w:p w14:paraId="4720C758" w14:textId="77777777" w:rsidR="0066566D" w:rsidRDefault="0066566D" w:rsidP="0066566D">
      <w:pPr>
        <w:spacing w:line="360" w:lineRule="auto"/>
        <w:rPr>
          <w:rFonts w:ascii="新宋体" w:eastAsia="新宋体" w:hAnsi="新宋体"/>
          <w:b/>
        </w:rPr>
      </w:pPr>
      <w:r>
        <w:rPr>
          <w:rFonts w:ascii="新宋体" w:eastAsia="新宋体" w:hAnsi="新宋体" w:hint="eastAsia"/>
          <w:b/>
        </w:rPr>
        <w:t>（四）服务的要求</w:t>
      </w:r>
    </w:p>
    <w:p w14:paraId="4F8C66C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4.1 第三方测评服务所使用的仪器仪表必须经法定计量部门计量合格，性能应稳定可靠。</w:t>
      </w:r>
    </w:p>
    <w:p w14:paraId="58503BD5"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4.2 提供公正、公平及高效的服务。</w:t>
      </w:r>
    </w:p>
    <w:p w14:paraId="19143C2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4.3 不同的测评项目成立检测项目组，保证检测人员的业务素质，遵守职业道德，保证工作的公正性、科学性和预见性，维护甲方的合法权益。</w:t>
      </w:r>
    </w:p>
    <w:p w14:paraId="3854CC4F"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4.4 投标人需准备开展各项检测服务所需要的检测工具、设备以及其它应当具备的检测条件。</w:t>
      </w:r>
    </w:p>
    <w:p w14:paraId="282EBD41" w14:textId="77777777" w:rsidR="0066566D" w:rsidRDefault="0066566D" w:rsidP="0066566D">
      <w:pPr>
        <w:spacing w:line="360" w:lineRule="auto"/>
        <w:rPr>
          <w:rFonts w:ascii="新宋体" w:eastAsia="新宋体" w:hAnsi="新宋体"/>
          <w:b/>
        </w:rPr>
      </w:pPr>
      <w:r>
        <w:rPr>
          <w:rFonts w:ascii="新宋体" w:eastAsia="新宋体" w:hAnsi="新宋体" w:hint="eastAsia"/>
          <w:b/>
        </w:rPr>
        <w:t>（五）服务的成果要求</w:t>
      </w:r>
    </w:p>
    <w:p w14:paraId="241F3630"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5.1 《系统检测过程存在的问题汇总清单》</w:t>
      </w:r>
    </w:p>
    <w:p w14:paraId="5C6EA587"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5.2 《系统检测报告》（正式盖章版）</w:t>
      </w:r>
    </w:p>
    <w:p w14:paraId="1BD120EF"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5.3 《安全专项测评过程存在的问题汇总清单》</w:t>
      </w:r>
    </w:p>
    <w:p w14:paraId="40E93216" w14:textId="77777777" w:rsidR="0066566D" w:rsidRDefault="0066566D" w:rsidP="0066566D">
      <w:pPr>
        <w:spacing w:line="360" w:lineRule="auto"/>
        <w:rPr>
          <w:rFonts w:ascii="新宋体" w:eastAsia="新宋体" w:hAnsi="新宋体"/>
          <w:bCs/>
        </w:rPr>
      </w:pPr>
      <w:r>
        <w:rPr>
          <w:rFonts w:ascii="新宋体" w:eastAsia="新宋体" w:hAnsi="新宋体" w:hint="eastAsia"/>
          <w:bCs/>
        </w:rPr>
        <w:lastRenderedPageBreak/>
        <w:t>5.4 《安全专项测评报告》（正式盖章版）</w:t>
      </w:r>
    </w:p>
    <w:p w14:paraId="4D3357D9"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5.5 《网络安全等级保护测评差距测评报告》</w:t>
      </w:r>
    </w:p>
    <w:p w14:paraId="45BE0236"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5.6 《网络安全等级保护测评报告》（正式盖章版）</w:t>
      </w:r>
    </w:p>
    <w:p w14:paraId="2567BE6A" w14:textId="77777777" w:rsidR="0066566D" w:rsidRDefault="0066566D" w:rsidP="0066566D">
      <w:pPr>
        <w:spacing w:line="360" w:lineRule="auto"/>
        <w:rPr>
          <w:rFonts w:ascii="新宋体" w:eastAsia="新宋体" w:hAnsi="新宋体"/>
          <w:bCs/>
        </w:rPr>
      </w:pPr>
      <w:r>
        <w:rPr>
          <w:rFonts w:ascii="新宋体" w:eastAsia="新宋体" w:hAnsi="新宋体" w:hint="eastAsia"/>
          <w:bCs/>
        </w:rPr>
        <w:t>5.7 《项目评估总结报告》（正式盖章版）</w:t>
      </w:r>
    </w:p>
    <w:p w14:paraId="1800B876" w14:textId="77777777" w:rsidR="0066566D" w:rsidRDefault="0066566D" w:rsidP="0066566D">
      <w:pPr>
        <w:rPr>
          <w:rFonts w:ascii="新宋体" w:eastAsia="新宋体" w:hAnsi="新宋体"/>
          <w:b/>
        </w:rPr>
      </w:pPr>
    </w:p>
    <w:p w14:paraId="6EB13313" w14:textId="77777777" w:rsidR="0066566D" w:rsidRDefault="0066566D" w:rsidP="0066566D">
      <w:pPr>
        <w:pStyle w:val="3"/>
        <w:rPr>
          <w:rFonts w:ascii="新宋体" w:eastAsia="新宋体" w:hAnsi="新宋体"/>
          <w:kern w:val="44"/>
          <w:szCs w:val="28"/>
        </w:rPr>
      </w:pPr>
      <w:r>
        <w:rPr>
          <w:rFonts w:ascii="新宋体" w:eastAsia="新宋体" w:hAnsi="新宋体" w:hint="eastAsia"/>
          <w:kern w:val="44"/>
          <w:szCs w:val="28"/>
        </w:rPr>
        <w:t>五、项目商务要求</w:t>
      </w:r>
    </w:p>
    <w:p w14:paraId="1F014030" w14:textId="77777777" w:rsidR="0066566D" w:rsidRDefault="0066566D" w:rsidP="0066566D">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0E0834A7"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本项目服务期限为6个月。</w:t>
      </w:r>
    </w:p>
    <w:p w14:paraId="6BD89B85" w14:textId="77777777" w:rsidR="0066566D" w:rsidRDefault="0066566D" w:rsidP="0066566D">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6FD327A3"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合同签订后，采购人自收到投标人发票后支付合同总金额的50%；项目通过最终验收后，支付合同总金额的50%。</w:t>
      </w:r>
    </w:p>
    <w:p w14:paraId="12A48ED4" w14:textId="77777777" w:rsidR="0066566D" w:rsidRDefault="0066566D" w:rsidP="0066566D">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E08232C"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 xml:space="preserve">1.测试服务工作成果的验收标准：供应商提供盖章签字文字印刷版且符合要求的服务成果为项目交付物，交付物包括但不限于“五、项目技术要求第五条服务的成果要求”所列的清单、报告等。 </w:t>
      </w:r>
    </w:p>
    <w:p w14:paraId="293A25C1"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2.违约金：</w:t>
      </w:r>
    </w:p>
    <w:p w14:paraId="36C71DA1"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（1）本合同正式签订后，任何一方不履行或不完全履行本合同约定条款的，即构成违约，违约方应赔偿对方的损失；</w:t>
      </w:r>
    </w:p>
    <w:p w14:paraId="0FC86C07"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2）由于供应商自身原因造成各阶段工作延期完成，每逾期一天，供应商须向采购方支付合同总价的1‰的违约金，任意一阶段工作逾期完成超过30天，采购方有权单方解除合同，供应商应退还已收取的合同款项。违约金不足以弥补由此给采购方造成损失的，供应商应另行承担赔偿责任。</w:t>
      </w:r>
    </w:p>
    <w:p w14:paraId="16E50769" w14:textId="77777777" w:rsidR="0066566D" w:rsidRDefault="0066566D" w:rsidP="0066566D">
      <w:pPr>
        <w:spacing w:line="360" w:lineRule="auto"/>
        <w:rPr>
          <w:rFonts w:ascii="新宋体" w:eastAsia="新宋体" w:hAnsi="新宋体" w:cs="宋体"/>
          <w:szCs w:val="21"/>
        </w:rPr>
      </w:pPr>
      <w:r>
        <w:rPr>
          <w:rFonts w:ascii="新宋体" w:eastAsia="新宋体" w:hAnsi="新宋体" w:cs="宋体" w:hint="eastAsia"/>
          <w:szCs w:val="21"/>
        </w:rPr>
        <w:t>（3）因采购方原因造成供应商不能按期完成的，供应商工作顺延；顺延的日期与采购方造成供应商不能正常工作的日期相等。</w:t>
      </w:r>
    </w:p>
    <w:p w14:paraId="6B5A09D4" w14:textId="77777777" w:rsidR="0066566D" w:rsidRDefault="0066566D" w:rsidP="0066566D">
      <w:pPr>
        <w:pStyle w:val="3"/>
        <w:rPr>
          <w:rFonts w:ascii="新宋体" w:eastAsia="新宋体" w:hAnsi="新宋体"/>
          <w:kern w:val="44"/>
          <w:szCs w:val="28"/>
        </w:rPr>
      </w:pPr>
      <w:r>
        <w:rPr>
          <w:rFonts w:ascii="新宋体" w:eastAsia="新宋体" w:hAnsi="新宋体" w:hint="eastAsia"/>
          <w:kern w:val="44"/>
          <w:szCs w:val="28"/>
        </w:rPr>
        <w:t>六、投标报价</w:t>
      </w:r>
    </w:p>
    <w:p w14:paraId="7837FD2D" w14:textId="77777777" w:rsidR="0066566D" w:rsidRDefault="0066566D" w:rsidP="0066566D">
      <w:pPr>
        <w:pStyle w:val="a7"/>
        <w:spacing w:beforeLines="25" w:before="78" w:afterLines="25" w:after="78" w:line="360" w:lineRule="auto"/>
        <w:ind w:firstLine="0"/>
        <w:rPr>
          <w:rFonts w:ascii="新宋体" w:eastAsia="新宋体" w:hAnsi="新宋体"/>
          <w:szCs w:val="21"/>
        </w:rPr>
      </w:pPr>
      <w:r>
        <w:rPr>
          <w:rFonts w:ascii="新宋体" w:eastAsia="新宋体" w:hAnsi="新宋体" w:hint="eastAsia"/>
          <w:szCs w:val="21"/>
        </w:rPr>
        <w:t>1、本项目投标报价采用包干制，应包括成本、法定税费和相应的利润，应涵盖本项目招标范围和招标文件所列的各项内容中所述的全部。由投标人根据招标需求自行测算投标报价；</w:t>
      </w:r>
      <w:r>
        <w:rPr>
          <w:rFonts w:ascii="新宋体" w:eastAsia="新宋体" w:hAnsi="新宋体" w:hint="eastAsia"/>
          <w:szCs w:val="21"/>
        </w:rPr>
        <w:lastRenderedPageBreak/>
        <w:t>一经中标，投标报价即作为中标单位与采购人签订的合同金额。</w:t>
      </w:r>
    </w:p>
    <w:p w14:paraId="16F8AE99" w14:textId="77777777" w:rsidR="0066566D" w:rsidRDefault="0066566D" w:rsidP="0066566D">
      <w:pPr>
        <w:pStyle w:val="a7"/>
        <w:spacing w:beforeLines="25" w:before="78" w:afterLines="25" w:after="78" w:line="360" w:lineRule="auto"/>
        <w:ind w:firstLine="0"/>
        <w:rPr>
          <w:rFonts w:ascii="新宋体" w:eastAsia="新宋体" w:hAnsi="新宋体"/>
          <w:szCs w:val="21"/>
        </w:rPr>
      </w:pPr>
      <w:r>
        <w:rPr>
          <w:rFonts w:ascii="新宋体" w:eastAsia="新宋体" w:hAnsi="新宋体" w:hint="eastAsia"/>
          <w:szCs w:val="21"/>
        </w:rPr>
        <w:t>2、投标人应充分了解项目的位置、情况、道路及任何其它足以影响投标报价的情况，任何因忽视或误解项目情况而导致的索赔或服务期限延长申请将不获批准。</w:t>
      </w:r>
    </w:p>
    <w:p w14:paraId="5D4ED1D0" w14:textId="77777777" w:rsidR="0066566D" w:rsidRDefault="0066566D" w:rsidP="0066566D">
      <w:pPr>
        <w:pStyle w:val="a7"/>
        <w:spacing w:beforeLines="25" w:before="78" w:afterLines="25" w:after="78" w:line="360" w:lineRule="auto"/>
        <w:ind w:firstLine="0"/>
        <w:rPr>
          <w:rFonts w:ascii="新宋体" w:eastAsia="新宋体" w:hAnsi="新宋体"/>
          <w:szCs w:val="21"/>
        </w:rPr>
      </w:pPr>
      <w:r>
        <w:rPr>
          <w:rFonts w:ascii="新宋体" w:eastAsia="新宋体" w:hAnsi="新宋体" w:hint="eastAsia"/>
          <w:szCs w:val="21"/>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33D3F52D" w14:textId="77777777" w:rsidR="0066566D" w:rsidRDefault="0066566D" w:rsidP="0066566D">
      <w:pPr>
        <w:pStyle w:val="a7"/>
        <w:spacing w:beforeLines="25" w:before="78" w:afterLines="25" w:after="78" w:line="360" w:lineRule="auto"/>
        <w:ind w:firstLine="0"/>
        <w:rPr>
          <w:rFonts w:ascii="新宋体" w:eastAsia="新宋体" w:hAnsi="新宋体"/>
          <w:szCs w:val="21"/>
        </w:rPr>
      </w:pPr>
      <w:r>
        <w:rPr>
          <w:rFonts w:ascii="新宋体" w:eastAsia="新宋体" w:hAnsi="新宋体" w:hint="eastAsia"/>
          <w:szCs w:val="21"/>
        </w:rPr>
        <w:t>4、除政府采购合同继续履行将损害国家利益和社会公共利益外，双方当事人不得擅自变更、中止或者终止合同。</w:t>
      </w:r>
    </w:p>
    <w:p w14:paraId="75C7B9FB" w14:textId="5483C671" w:rsidR="00F516D7" w:rsidRPr="0066566D" w:rsidRDefault="0066566D" w:rsidP="0066566D">
      <w:pPr>
        <w:pStyle w:val="a7"/>
        <w:spacing w:beforeLines="25" w:before="78" w:afterLines="25" w:after="78" w:line="360" w:lineRule="auto"/>
        <w:ind w:firstLine="0"/>
        <w:rPr>
          <w:rFonts w:ascii="新宋体" w:eastAsia="新宋体" w:hAnsi="新宋体"/>
          <w:szCs w:val="21"/>
        </w:rPr>
      </w:pPr>
      <w:r>
        <w:rPr>
          <w:rFonts w:ascii="新宋体" w:eastAsia="新宋体" w:hAnsi="新宋体" w:hint="eastAsia"/>
          <w:szCs w:val="21"/>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sectPr w:rsidR="00F516D7" w:rsidRPr="00665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4E15C" w14:textId="77777777" w:rsidR="0066566D" w:rsidRDefault="0066566D" w:rsidP="0066566D">
      <w:r>
        <w:separator/>
      </w:r>
    </w:p>
  </w:endnote>
  <w:endnote w:type="continuationSeparator" w:id="0">
    <w:p w14:paraId="4AC2107C" w14:textId="77777777" w:rsidR="0066566D" w:rsidRDefault="0066566D" w:rsidP="0066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3BAF5" w14:textId="77777777" w:rsidR="0066566D" w:rsidRDefault="0066566D" w:rsidP="0066566D">
      <w:r>
        <w:separator/>
      </w:r>
    </w:p>
  </w:footnote>
  <w:footnote w:type="continuationSeparator" w:id="0">
    <w:p w14:paraId="57BC82DC" w14:textId="77777777" w:rsidR="0066566D" w:rsidRDefault="0066566D" w:rsidP="006656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66566D"/>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66D"/>
    <w:pPr>
      <w:widowControl w:val="0"/>
      <w:jc w:val="both"/>
    </w:pPr>
    <w:rPr>
      <w:rFonts w:ascii="Times New Roman" w:eastAsia="宋体" w:hAnsi="Times New Roman" w:cs="Times New Roman"/>
      <w:szCs w:val="24"/>
    </w:rPr>
  </w:style>
  <w:style w:type="paragraph" w:styleId="3">
    <w:name w:val="heading 3"/>
    <w:basedOn w:val="4"/>
    <w:next w:val="a"/>
    <w:link w:val="30"/>
    <w:qFormat/>
    <w:rsid w:val="0066566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66566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66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6566D"/>
    <w:rPr>
      <w:sz w:val="18"/>
      <w:szCs w:val="18"/>
    </w:rPr>
  </w:style>
  <w:style w:type="paragraph" w:styleId="a5">
    <w:name w:val="footer"/>
    <w:basedOn w:val="a"/>
    <w:link w:val="a6"/>
    <w:uiPriority w:val="99"/>
    <w:unhideWhenUsed/>
    <w:rsid w:val="006656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6566D"/>
    <w:rPr>
      <w:sz w:val="18"/>
      <w:szCs w:val="18"/>
    </w:rPr>
  </w:style>
  <w:style w:type="character" w:customStyle="1" w:styleId="30">
    <w:name w:val="标题 3 字符"/>
    <w:basedOn w:val="a0"/>
    <w:link w:val="3"/>
    <w:qFormat/>
    <w:rsid w:val="0066566D"/>
    <w:rPr>
      <w:rFonts w:ascii="宋体" w:eastAsia="宋体" w:hAnsi="宋体" w:cs="Times New Roman"/>
      <w:b/>
      <w:bCs/>
      <w:sz w:val="28"/>
      <w:szCs w:val="32"/>
    </w:rPr>
  </w:style>
  <w:style w:type="paragraph" w:styleId="a7">
    <w:name w:val="Normal Indent"/>
    <w:basedOn w:val="a"/>
    <w:link w:val="a8"/>
    <w:qFormat/>
    <w:rsid w:val="0066566D"/>
    <w:pPr>
      <w:ind w:firstLine="420"/>
    </w:pPr>
    <w:rPr>
      <w:szCs w:val="20"/>
    </w:rPr>
  </w:style>
  <w:style w:type="character" w:customStyle="1" w:styleId="a8">
    <w:name w:val="正文缩进 字符"/>
    <w:link w:val="a7"/>
    <w:qFormat/>
    <w:rsid w:val="0066566D"/>
    <w:rPr>
      <w:rFonts w:ascii="Times New Roman" w:eastAsia="宋体" w:hAnsi="Times New Roman" w:cs="Times New Roman"/>
      <w:szCs w:val="20"/>
    </w:rPr>
  </w:style>
  <w:style w:type="character" w:customStyle="1" w:styleId="40">
    <w:name w:val="标题 4 字符"/>
    <w:basedOn w:val="a0"/>
    <w:link w:val="4"/>
    <w:uiPriority w:val="9"/>
    <w:semiHidden/>
    <w:rsid w:val="0066566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2025-03-31T07:29:00Z</dcterms:modified>
</cp:coreProperties>
</file>